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CF907" w14:textId="77777777" w:rsidR="00BB7E47" w:rsidRDefault="00BB7E47">
      <w:pPr>
        <w:spacing w:line="360" w:lineRule="auto"/>
        <w:rPr>
          <w:rFonts w:ascii="Times New Roman" w:hAnsi="Times New Roman" w:cs="Times New Roman"/>
          <w:sz w:val="24"/>
          <w:szCs w:val="24"/>
        </w:rPr>
      </w:pPr>
    </w:p>
    <w:p w14:paraId="6F7A583C" w14:textId="77777777" w:rsidR="00BB7E47" w:rsidRDefault="00BB7E47">
      <w:pPr>
        <w:spacing w:line="360" w:lineRule="auto"/>
        <w:jc w:val="center"/>
        <w:rPr>
          <w:rFonts w:ascii="Times New Roman" w:hAnsi="Times New Roman" w:cs="Times New Roman"/>
          <w:b/>
          <w:sz w:val="48"/>
          <w:szCs w:val="48"/>
        </w:rPr>
      </w:pPr>
    </w:p>
    <w:p w14:paraId="4397D5B5" w14:textId="77777777" w:rsidR="00BB7E47" w:rsidRDefault="00BB7E47">
      <w:pPr>
        <w:spacing w:line="360" w:lineRule="auto"/>
        <w:jc w:val="center"/>
        <w:rPr>
          <w:rFonts w:ascii="Times New Roman" w:hAnsi="Times New Roman" w:cs="Times New Roman"/>
          <w:b/>
          <w:sz w:val="48"/>
          <w:szCs w:val="48"/>
        </w:rPr>
      </w:pPr>
    </w:p>
    <w:p w14:paraId="32EE476A" w14:textId="77777777" w:rsidR="00BB7E47" w:rsidRDefault="00BB7E47">
      <w:pPr>
        <w:spacing w:line="360" w:lineRule="auto"/>
        <w:jc w:val="center"/>
        <w:rPr>
          <w:rFonts w:ascii="Times New Roman" w:hAnsi="Times New Roman" w:cs="Times New Roman"/>
          <w:b/>
          <w:sz w:val="48"/>
          <w:szCs w:val="48"/>
        </w:rPr>
      </w:pPr>
    </w:p>
    <w:p w14:paraId="7A366BFF" w14:textId="77777777" w:rsidR="00BB7E47" w:rsidRDefault="00BB7E47">
      <w:pPr>
        <w:spacing w:line="360" w:lineRule="auto"/>
        <w:jc w:val="center"/>
        <w:rPr>
          <w:rFonts w:ascii="Times New Roman" w:hAnsi="Times New Roman" w:cs="Times New Roman"/>
          <w:b/>
          <w:sz w:val="48"/>
          <w:szCs w:val="48"/>
        </w:rPr>
      </w:pPr>
    </w:p>
    <w:p w14:paraId="14E9E69D" w14:textId="77777777" w:rsidR="00925D10" w:rsidRDefault="005406F2">
      <w:pPr>
        <w:spacing w:line="360" w:lineRule="auto"/>
        <w:jc w:val="center"/>
        <w:rPr>
          <w:rFonts w:ascii="Times New Roman" w:hAnsi="Times New Roman" w:cs="Times New Roman"/>
          <w:b/>
          <w:sz w:val="44"/>
          <w:szCs w:val="44"/>
        </w:rPr>
      </w:pPr>
      <w:proofErr w:type="gramStart"/>
      <w:r>
        <w:rPr>
          <w:rFonts w:ascii="Times New Roman" w:hAnsi="Times New Roman" w:cs="Times New Roman"/>
          <w:b/>
          <w:sz w:val="44"/>
          <w:szCs w:val="44"/>
        </w:rPr>
        <w:t>鑫元稳丰利率债</w:t>
      </w:r>
      <w:proofErr w:type="gramEnd"/>
      <w:r>
        <w:rPr>
          <w:rFonts w:ascii="Times New Roman" w:hAnsi="Times New Roman" w:cs="Times New Roman"/>
          <w:b/>
          <w:sz w:val="44"/>
          <w:szCs w:val="44"/>
        </w:rPr>
        <w:t>债券型证券投资基金</w:t>
      </w:r>
    </w:p>
    <w:p w14:paraId="14DA0236" w14:textId="6C40D76B" w:rsidR="00BB7E47" w:rsidRDefault="005406F2">
      <w:pPr>
        <w:spacing w:line="360" w:lineRule="auto"/>
        <w:jc w:val="center"/>
        <w:rPr>
          <w:rFonts w:ascii="Times New Roman" w:hAnsi="Times New Roman" w:cs="Times New Roman"/>
          <w:b/>
          <w:sz w:val="44"/>
          <w:szCs w:val="44"/>
        </w:rPr>
      </w:pPr>
      <w:r>
        <w:rPr>
          <w:rFonts w:ascii="Times New Roman" w:hAnsi="Times New Roman" w:cs="Times New Roman"/>
          <w:b/>
          <w:sz w:val="44"/>
          <w:szCs w:val="44"/>
        </w:rPr>
        <w:t>托管协议</w:t>
      </w:r>
    </w:p>
    <w:p w14:paraId="0A938CBD" w14:textId="5BEED588" w:rsidR="00BB7E47" w:rsidRDefault="00BB7E47">
      <w:pPr>
        <w:spacing w:line="360" w:lineRule="auto"/>
        <w:jc w:val="center"/>
        <w:rPr>
          <w:rFonts w:ascii="Times New Roman" w:hAnsi="Times New Roman" w:cs="Times New Roman"/>
          <w:b/>
          <w:sz w:val="44"/>
          <w:szCs w:val="44"/>
        </w:rPr>
      </w:pPr>
    </w:p>
    <w:p w14:paraId="598AEE33" w14:textId="77777777" w:rsidR="00BB7E47" w:rsidRDefault="00BB7E47">
      <w:pPr>
        <w:spacing w:line="360" w:lineRule="auto"/>
        <w:jc w:val="center"/>
        <w:rPr>
          <w:rFonts w:ascii="Times New Roman" w:hAnsi="Times New Roman" w:cs="Times New Roman"/>
          <w:b/>
          <w:sz w:val="48"/>
          <w:szCs w:val="48"/>
        </w:rPr>
      </w:pPr>
    </w:p>
    <w:p w14:paraId="41E0F591" w14:textId="77777777" w:rsidR="00BB7E47" w:rsidRDefault="00BB7E47">
      <w:pPr>
        <w:spacing w:line="360" w:lineRule="auto"/>
        <w:jc w:val="center"/>
        <w:rPr>
          <w:rFonts w:ascii="Times New Roman" w:hAnsi="Times New Roman" w:cs="Times New Roman"/>
          <w:b/>
          <w:sz w:val="48"/>
          <w:szCs w:val="48"/>
        </w:rPr>
      </w:pPr>
    </w:p>
    <w:p w14:paraId="6E3989C0" w14:textId="77777777" w:rsidR="00BB7E47" w:rsidRDefault="00BB7E47">
      <w:pPr>
        <w:spacing w:line="360" w:lineRule="auto"/>
        <w:jc w:val="center"/>
        <w:rPr>
          <w:rFonts w:ascii="Times New Roman" w:hAnsi="Times New Roman" w:cs="Times New Roman"/>
          <w:b/>
          <w:sz w:val="48"/>
          <w:szCs w:val="48"/>
        </w:rPr>
      </w:pPr>
    </w:p>
    <w:p w14:paraId="30666EEE" w14:textId="77777777" w:rsidR="00BB7E47" w:rsidRDefault="00BB7E47">
      <w:pPr>
        <w:spacing w:line="360" w:lineRule="auto"/>
        <w:jc w:val="center"/>
        <w:rPr>
          <w:rFonts w:ascii="Times New Roman" w:hAnsi="Times New Roman" w:cs="Times New Roman"/>
          <w:b/>
          <w:sz w:val="48"/>
          <w:szCs w:val="48"/>
        </w:rPr>
      </w:pPr>
    </w:p>
    <w:p w14:paraId="64BA74C1" w14:textId="77777777" w:rsidR="00BB7E47" w:rsidRDefault="00BB7E47">
      <w:pPr>
        <w:spacing w:line="360" w:lineRule="auto"/>
        <w:jc w:val="center"/>
        <w:rPr>
          <w:rFonts w:ascii="Times New Roman" w:hAnsi="Times New Roman" w:cs="Times New Roman"/>
          <w:b/>
          <w:sz w:val="48"/>
          <w:szCs w:val="48"/>
        </w:rPr>
      </w:pPr>
    </w:p>
    <w:p w14:paraId="601DF737" w14:textId="77777777" w:rsidR="00BB7E47" w:rsidRDefault="005406F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基金管理人：</w:t>
      </w:r>
      <w:proofErr w:type="gramStart"/>
      <w:r>
        <w:rPr>
          <w:rFonts w:ascii="Times New Roman" w:hAnsi="Times New Roman" w:cs="Times New Roman"/>
          <w:b/>
          <w:sz w:val="28"/>
          <w:szCs w:val="28"/>
        </w:rPr>
        <w:t>鑫元基金</w:t>
      </w:r>
      <w:proofErr w:type="gramEnd"/>
      <w:r>
        <w:rPr>
          <w:rFonts w:ascii="Times New Roman" w:hAnsi="Times New Roman" w:cs="Times New Roman"/>
          <w:b/>
          <w:sz w:val="28"/>
          <w:szCs w:val="28"/>
        </w:rPr>
        <w:t>管理有限公司</w:t>
      </w:r>
    </w:p>
    <w:p w14:paraId="78A1D06B" w14:textId="77777777" w:rsidR="00BB7E47" w:rsidRDefault="005406F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基金托管人：恒丰银行股份有限公司</w:t>
      </w:r>
    </w:p>
    <w:p w14:paraId="72C59819" w14:textId="77777777" w:rsidR="00BB7E47" w:rsidRDefault="00BB7E47">
      <w:pPr>
        <w:spacing w:line="360" w:lineRule="auto"/>
        <w:ind w:firstLine="562"/>
        <w:rPr>
          <w:rFonts w:ascii="Times New Roman" w:hAnsi="Times New Roman" w:cs="Times New Roman"/>
          <w:b/>
          <w:sz w:val="28"/>
          <w:szCs w:val="28"/>
        </w:rPr>
      </w:pPr>
    </w:p>
    <w:p w14:paraId="2168E168" w14:textId="5262A03E" w:rsidR="00BB7E47" w:rsidRDefault="005406F2">
      <w:pPr>
        <w:spacing w:line="360" w:lineRule="auto"/>
        <w:jc w:val="center"/>
        <w:rPr>
          <w:rFonts w:ascii="Times New Roman" w:hAnsi="Times New Roman" w:cs="Times New Roman"/>
          <w:sz w:val="24"/>
          <w:szCs w:val="24"/>
        </w:rPr>
      </w:pPr>
      <w:r>
        <w:rPr>
          <w:rFonts w:ascii="Times New Roman" w:hAnsi="Times New Roman" w:cs="Times New Roman"/>
          <w:b/>
          <w:sz w:val="28"/>
          <w:szCs w:val="28"/>
        </w:rPr>
        <w:t>2023</w:t>
      </w:r>
      <w:r>
        <w:rPr>
          <w:rFonts w:ascii="Times New Roman" w:hAnsi="Times New Roman" w:cs="Times New Roman"/>
          <w:b/>
          <w:sz w:val="28"/>
          <w:szCs w:val="28"/>
        </w:rPr>
        <w:t>年</w:t>
      </w:r>
      <w:r w:rsidR="009344DE">
        <w:rPr>
          <w:rFonts w:ascii="Times New Roman" w:hAnsi="Times New Roman" w:cs="Times New Roman"/>
          <w:b/>
          <w:sz w:val="28"/>
          <w:szCs w:val="28"/>
        </w:rPr>
        <w:t>10</w:t>
      </w:r>
      <w:r>
        <w:rPr>
          <w:rFonts w:ascii="Times New Roman" w:hAnsi="Times New Roman" w:cs="Times New Roman"/>
          <w:b/>
          <w:sz w:val="28"/>
          <w:szCs w:val="28"/>
        </w:rPr>
        <w:t>月</w:t>
      </w:r>
    </w:p>
    <w:p w14:paraId="4F9C2307" w14:textId="77777777" w:rsidR="00BB7E47" w:rsidRDefault="00BB7E47">
      <w:pPr>
        <w:spacing w:line="360" w:lineRule="auto"/>
        <w:rPr>
          <w:rFonts w:ascii="Times New Roman" w:hAnsi="Times New Roman" w:cs="Times New Roman"/>
          <w:sz w:val="24"/>
          <w:szCs w:val="24"/>
        </w:rPr>
        <w:sectPr w:rsidR="00BB7E47">
          <w:pgSz w:w="11906" w:h="16838"/>
          <w:pgMar w:top="1440" w:right="1797" w:bottom="1440" w:left="1797" w:header="851" w:footer="992" w:gutter="0"/>
          <w:pgNumType w:start="1"/>
          <w:cols w:space="720"/>
          <w:docGrid w:type="lines" w:linePitch="312"/>
        </w:sectPr>
      </w:pPr>
    </w:p>
    <w:p w14:paraId="33F8B1FD" w14:textId="77777777" w:rsidR="00BB7E47" w:rsidRDefault="005406F2">
      <w:pPr>
        <w:spacing w:line="360" w:lineRule="auto"/>
        <w:jc w:val="center"/>
        <w:rPr>
          <w:rFonts w:ascii="Times New Roman" w:hAnsi="Times New Roman" w:cs="Times New Roman"/>
          <w:b/>
          <w:sz w:val="30"/>
          <w:szCs w:val="30"/>
        </w:rPr>
      </w:pPr>
      <w:r>
        <w:rPr>
          <w:rFonts w:ascii="Times New Roman" w:hAnsi="Times New Roman" w:cs="Times New Roman"/>
          <w:b/>
          <w:sz w:val="30"/>
          <w:szCs w:val="30"/>
        </w:rPr>
        <w:lastRenderedPageBreak/>
        <w:t>目</w:t>
      </w:r>
      <w:r>
        <w:rPr>
          <w:rFonts w:ascii="Times New Roman" w:hAnsi="Times New Roman" w:cs="Times New Roman"/>
          <w:b/>
          <w:sz w:val="30"/>
          <w:szCs w:val="30"/>
        </w:rPr>
        <w:t xml:space="preserve">    </w:t>
      </w:r>
      <w:r>
        <w:rPr>
          <w:rFonts w:ascii="Times New Roman" w:hAnsi="Times New Roman" w:cs="Times New Roman"/>
          <w:b/>
          <w:sz w:val="30"/>
          <w:szCs w:val="30"/>
        </w:rPr>
        <w:t>录</w:t>
      </w:r>
    </w:p>
    <w:p w14:paraId="66D106B5" w14:textId="77777777" w:rsidR="00BB7E47" w:rsidRDefault="005406F2">
      <w:pPr>
        <w:pStyle w:val="10"/>
        <w:tabs>
          <w:tab w:val="right" w:leader="dot" w:pos="8302"/>
        </w:tabs>
        <w:spacing w:after="0" w:line="360" w:lineRule="auto"/>
        <w:jc w:val="center"/>
        <w:rPr>
          <w:rFonts w:ascii="Times New Roma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"1-1" \h \z \u </w:instrText>
      </w:r>
      <w:r>
        <w:rPr>
          <w:rFonts w:ascii="Times New Roman" w:hAnsi="Times New Roman" w:cs="Times New Roman"/>
          <w:sz w:val="24"/>
          <w:szCs w:val="24"/>
        </w:rPr>
        <w:fldChar w:fldCharType="separate"/>
      </w:r>
      <w:hyperlink w:anchor="_Toc440289529" w:tooltip="Current Document" w:history="1">
        <w:r>
          <w:rPr>
            <w:rFonts w:ascii="Times New Roman" w:hAnsi="Times New Roman" w:cs="Times New Roman"/>
            <w:noProof/>
            <w:sz w:val="24"/>
            <w:szCs w:val="24"/>
          </w:rPr>
          <w:t>一、基金托管协议当事人</w:t>
        </w:r>
        <w:r>
          <w:rPr>
            <w:rFonts w:ascii="Times New Roman" w:hAnsi="Times New Roman" w:cs="Times New Roman"/>
            <w:noProof/>
            <w:sz w:val="24"/>
            <w:szCs w:val="24"/>
          </w:rPr>
          <w:tab/>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PAGEREF _Toc440289529 \h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sidR="00191CE8">
          <w:rPr>
            <w:rFonts w:ascii="Times New Roman" w:hAnsi="Times New Roman" w:cs="Times New Roman"/>
            <w:noProof/>
            <w:sz w:val="24"/>
            <w:szCs w:val="24"/>
          </w:rPr>
          <w:t>2</w:t>
        </w:r>
        <w:r>
          <w:rPr>
            <w:rFonts w:ascii="Times New Roman" w:hAnsi="Times New Roman" w:cs="Times New Roman"/>
            <w:noProof/>
            <w:sz w:val="24"/>
            <w:szCs w:val="24"/>
          </w:rPr>
          <w:fldChar w:fldCharType="end"/>
        </w:r>
      </w:hyperlink>
    </w:p>
    <w:p w14:paraId="7BFB38C0" w14:textId="77777777" w:rsidR="00BB7E47" w:rsidRDefault="00191CE8">
      <w:pPr>
        <w:pStyle w:val="10"/>
        <w:tabs>
          <w:tab w:val="right" w:leader="dot" w:pos="8302"/>
        </w:tabs>
        <w:spacing w:after="0" w:line="360" w:lineRule="auto"/>
        <w:jc w:val="center"/>
        <w:rPr>
          <w:rFonts w:ascii="Times New Roman" w:hAnsi="Times New Roman" w:cs="Times New Roman"/>
          <w:noProof/>
          <w:sz w:val="24"/>
          <w:szCs w:val="24"/>
        </w:rPr>
      </w:pPr>
      <w:hyperlink w:anchor="_Toc440289530" w:tooltip="Current Document" w:history="1">
        <w:r w:rsidR="005406F2">
          <w:rPr>
            <w:rFonts w:ascii="Times New Roman" w:hAnsi="Times New Roman" w:cs="Times New Roman"/>
            <w:noProof/>
            <w:sz w:val="24"/>
            <w:szCs w:val="24"/>
          </w:rPr>
          <w:t>二、基金托管协议的依据、目的、原则和解释</w:t>
        </w:r>
        <w:r w:rsidR="005406F2">
          <w:rPr>
            <w:rFonts w:ascii="Times New Roman" w:hAnsi="Times New Roman" w:cs="Times New Roman"/>
            <w:noProof/>
            <w:sz w:val="24"/>
            <w:szCs w:val="24"/>
          </w:rPr>
          <w:tab/>
        </w:r>
        <w:r w:rsidR="005406F2">
          <w:rPr>
            <w:rFonts w:ascii="Times New Roman" w:hAnsi="Times New Roman" w:cs="Times New Roman"/>
            <w:noProof/>
            <w:sz w:val="24"/>
            <w:szCs w:val="24"/>
          </w:rPr>
          <w:fldChar w:fldCharType="begin"/>
        </w:r>
        <w:r w:rsidR="005406F2">
          <w:rPr>
            <w:rFonts w:ascii="Times New Roman" w:hAnsi="Times New Roman" w:cs="Times New Roman"/>
            <w:noProof/>
            <w:sz w:val="24"/>
            <w:szCs w:val="24"/>
          </w:rPr>
          <w:instrText xml:space="preserve"> PAGEREF _Toc440289530 \h </w:instrText>
        </w:r>
        <w:r w:rsidR="005406F2">
          <w:rPr>
            <w:rFonts w:ascii="Times New Roman" w:hAnsi="Times New Roman" w:cs="Times New Roman"/>
            <w:noProof/>
            <w:sz w:val="24"/>
            <w:szCs w:val="24"/>
          </w:rPr>
        </w:r>
        <w:r w:rsidR="005406F2">
          <w:rPr>
            <w:rFonts w:ascii="Times New Roman" w:hAnsi="Times New Roman" w:cs="Times New Roman"/>
            <w:noProof/>
            <w:sz w:val="24"/>
            <w:szCs w:val="24"/>
          </w:rPr>
          <w:fldChar w:fldCharType="separate"/>
        </w:r>
        <w:r>
          <w:rPr>
            <w:rFonts w:ascii="Times New Roman" w:hAnsi="Times New Roman" w:cs="Times New Roman"/>
            <w:noProof/>
            <w:sz w:val="24"/>
            <w:szCs w:val="24"/>
          </w:rPr>
          <w:t>3</w:t>
        </w:r>
        <w:r w:rsidR="005406F2">
          <w:rPr>
            <w:rFonts w:ascii="Times New Roman" w:hAnsi="Times New Roman" w:cs="Times New Roman"/>
            <w:noProof/>
            <w:sz w:val="24"/>
            <w:szCs w:val="24"/>
          </w:rPr>
          <w:fldChar w:fldCharType="end"/>
        </w:r>
      </w:hyperlink>
    </w:p>
    <w:p w14:paraId="6FBD0646" w14:textId="77777777" w:rsidR="00BB7E47" w:rsidRDefault="00191CE8">
      <w:pPr>
        <w:pStyle w:val="10"/>
        <w:tabs>
          <w:tab w:val="right" w:leader="dot" w:pos="8302"/>
        </w:tabs>
        <w:spacing w:after="0" w:line="360" w:lineRule="auto"/>
        <w:jc w:val="center"/>
        <w:rPr>
          <w:rFonts w:ascii="Times New Roman" w:hAnsi="Times New Roman" w:cs="Times New Roman"/>
          <w:noProof/>
          <w:sz w:val="24"/>
          <w:szCs w:val="24"/>
        </w:rPr>
      </w:pPr>
      <w:hyperlink w:anchor="_Toc440289531" w:tooltip="Current Document" w:history="1">
        <w:r w:rsidR="005406F2">
          <w:rPr>
            <w:rFonts w:ascii="Times New Roman" w:hAnsi="Times New Roman" w:cs="Times New Roman"/>
            <w:noProof/>
            <w:sz w:val="24"/>
            <w:szCs w:val="24"/>
          </w:rPr>
          <w:t>三、基金托管人对基金管理人的业务监督和核查</w:t>
        </w:r>
        <w:r w:rsidR="005406F2">
          <w:rPr>
            <w:rFonts w:ascii="Times New Roman" w:hAnsi="Times New Roman" w:cs="Times New Roman"/>
            <w:noProof/>
            <w:sz w:val="24"/>
            <w:szCs w:val="24"/>
          </w:rPr>
          <w:tab/>
        </w:r>
        <w:r w:rsidR="005406F2">
          <w:rPr>
            <w:rFonts w:ascii="Times New Roman" w:hAnsi="Times New Roman" w:cs="Times New Roman"/>
            <w:noProof/>
            <w:sz w:val="24"/>
            <w:szCs w:val="24"/>
          </w:rPr>
          <w:fldChar w:fldCharType="begin"/>
        </w:r>
        <w:r w:rsidR="005406F2">
          <w:rPr>
            <w:rFonts w:ascii="Times New Roman" w:hAnsi="Times New Roman" w:cs="Times New Roman"/>
            <w:noProof/>
            <w:sz w:val="24"/>
            <w:szCs w:val="24"/>
          </w:rPr>
          <w:instrText xml:space="preserve"> PAGEREF _Toc440289531 \h </w:instrText>
        </w:r>
        <w:r w:rsidR="005406F2">
          <w:rPr>
            <w:rFonts w:ascii="Times New Roman" w:hAnsi="Times New Roman" w:cs="Times New Roman"/>
            <w:noProof/>
            <w:sz w:val="24"/>
            <w:szCs w:val="24"/>
          </w:rPr>
        </w:r>
        <w:r w:rsidR="005406F2">
          <w:rPr>
            <w:rFonts w:ascii="Times New Roman" w:hAnsi="Times New Roman" w:cs="Times New Roman"/>
            <w:noProof/>
            <w:sz w:val="24"/>
            <w:szCs w:val="24"/>
          </w:rPr>
          <w:fldChar w:fldCharType="separate"/>
        </w:r>
        <w:r>
          <w:rPr>
            <w:rFonts w:ascii="Times New Roman" w:hAnsi="Times New Roman" w:cs="Times New Roman"/>
            <w:noProof/>
            <w:sz w:val="24"/>
            <w:szCs w:val="24"/>
          </w:rPr>
          <w:t>4</w:t>
        </w:r>
        <w:r w:rsidR="005406F2">
          <w:rPr>
            <w:rFonts w:ascii="Times New Roman" w:hAnsi="Times New Roman" w:cs="Times New Roman"/>
            <w:noProof/>
            <w:sz w:val="24"/>
            <w:szCs w:val="24"/>
          </w:rPr>
          <w:fldChar w:fldCharType="end"/>
        </w:r>
      </w:hyperlink>
    </w:p>
    <w:p w14:paraId="41A69441" w14:textId="77777777" w:rsidR="00BB7E47" w:rsidRDefault="00191CE8">
      <w:pPr>
        <w:pStyle w:val="10"/>
        <w:tabs>
          <w:tab w:val="right" w:leader="dot" w:pos="8302"/>
        </w:tabs>
        <w:spacing w:after="0" w:line="360" w:lineRule="auto"/>
        <w:jc w:val="center"/>
        <w:rPr>
          <w:rFonts w:ascii="Times New Roman" w:hAnsi="Times New Roman" w:cs="Times New Roman"/>
          <w:noProof/>
          <w:sz w:val="24"/>
          <w:szCs w:val="24"/>
        </w:rPr>
      </w:pPr>
      <w:hyperlink w:anchor="_Toc440289532" w:tooltip="Current Document" w:history="1">
        <w:r w:rsidR="005406F2">
          <w:rPr>
            <w:rFonts w:ascii="Times New Roman" w:hAnsi="Times New Roman" w:cs="Times New Roman"/>
            <w:noProof/>
            <w:sz w:val="24"/>
            <w:szCs w:val="24"/>
          </w:rPr>
          <w:t>四、基金管理人对基金托管人的业务核查</w:t>
        </w:r>
        <w:r w:rsidR="005406F2">
          <w:rPr>
            <w:rFonts w:ascii="Times New Roman" w:hAnsi="Times New Roman" w:cs="Times New Roman"/>
            <w:noProof/>
            <w:sz w:val="24"/>
            <w:szCs w:val="24"/>
          </w:rPr>
          <w:tab/>
        </w:r>
        <w:r w:rsidR="005406F2">
          <w:rPr>
            <w:rFonts w:ascii="Times New Roman" w:hAnsi="Times New Roman" w:cs="Times New Roman"/>
            <w:noProof/>
            <w:sz w:val="24"/>
            <w:szCs w:val="24"/>
          </w:rPr>
          <w:fldChar w:fldCharType="begin"/>
        </w:r>
        <w:r w:rsidR="005406F2">
          <w:rPr>
            <w:rFonts w:ascii="Times New Roman" w:hAnsi="Times New Roman" w:cs="Times New Roman"/>
            <w:noProof/>
            <w:sz w:val="24"/>
            <w:szCs w:val="24"/>
          </w:rPr>
          <w:instrText xml:space="preserve"> PAGEREF _Toc440289532 \h </w:instrText>
        </w:r>
        <w:r w:rsidR="005406F2">
          <w:rPr>
            <w:rFonts w:ascii="Times New Roman" w:hAnsi="Times New Roman" w:cs="Times New Roman"/>
            <w:noProof/>
            <w:sz w:val="24"/>
            <w:szCs w:val="24"/>
          </w:rPr>
        </w:r>
        <w:r w:rsidR="005406F2">
          <w:rPr>
            <w:rFonts w:ascii="Times New Roman" w:hAnsi="Times New Roman" w:cs="Times New Roman"/>
            <w:noProof/>
            <w:sz w:val="24"/>
            <w:szCs w:val="24"/>
          </w:rPr>
          <w:fldChar w:fldCharType="separate"/>
        </w:r>
        <w:r>
          <w:rPr>
            <w:rFonts w:ascii="Times New Roman" w:hAnsi="Times New Roman" w:cs="Times New Roman"/>
            <w:noProof/>
            <w:sz w:val="24"/>
            <w:szCs w:val="24"/>
          </w:rPr>
          <w:t>10</w:t>
        </w:r>
        <w:r w:rsidR="005406F2">
          <w:rPr>
            <w:rFonts w:ascii="Times New Roman" w:hAnsi="Times New Roman" w:cs="Times New Roman"/>
            <w:noProof/>
            <w:sz w:val="24"/>
            <w:szCs w:val="24"/>
          </w:rPr>
          <w:fldChar w:fldCharType="end"/>
        </w:r>
      </w:hyperlink>
    </w:p>
    <w:p w14:paraId="2E925FF3" w14:textId="77777777" w:rsidR="00BB7E47" w:rsidRDefault="00191CE8">
      <w:pPr>
        <w:pStyle w:val="10"/>
        <w:tabs>
          <w:tab w:val="right" w:leader="dot" w:pos="8302"/>
        </w:tabs>
        <w:spacing w:after="0" w:line="360" w:lineRule="auto"/>
        <w:jc w:val="center"/>
        <w:rPr>
          <w:rFonts w:ascii="Times New Roman" w:hAnsi="Times New Roman" w:cs="Times New Roman"/>
          <w:noProof/>
          <w:sz w:val="24"/>
          <w:szCs w:val="24"/>
        </w:rPr>
      </w:pPr>
      <w:hyperlink w:anchor="_Toc440289533" w:tooltip="Current Document" w:history="1">
        <w:r w:rsidR="005406F2">
          <w:rPr>
            <w:rFonts w:ascii="Times New Roman" w:hAnsi="Times New Roman" w:cs="Times New Roman"/>
            <w:noProof/>
            <w:sz w:val="24"/>
            <w:szCs w:val="24"/>
          </w:rPr>
          <w:t>五、基金财产的保管</w:t>
        </w:r>
        <w:r w:rsidR="005406F2">
          <w:rPr>
            <w:rFonts w:ascii="Times New Roman" w:hAnsi="Times New Roman" w:cs="Times New Roman"/>
            <w:noProof/>
            <w:sz w:val="24"/>
            <w:szCs w:val="24"/>
          </w:rPr>
          <w:tab/>
        </w:r>
        <w:r w:rsidR="005406F2">
          <w:rPr>
            <w:rFonts w:ascii="Times New Roman" w:hAnsi="Times New Roman" w:cs="Times New Roman"/>
            <w:noProof/>
            <w:sz w:val="24"/>
            <w:szCs w:val="24"/>
          </w:rPr>
          <w:fldChar w:fldCharType="begin"/>
        </w:r>
        <w:r w:rsidR="005406F2">
          <w:rPr>
            <w:rFonts w:ascii="Times New Roman" w:hAnsi="Times New Roman" w:cs="Times New Roman"/>
            <w:noProof/>
            <w:sz w:val="24"/>
            <w:szCs w:val="24"/>
          </w:rPr>
          <w:instrText xml:space="preserve"> PAGEREF _Toc440289533 \h </w:instrText>
        </w:r>
        <w:r w:rsidR="005406F2">
          <w:rPr>
            <w:rFonts w:ascii="Times New Roman" w:hAnsi="Times New Roman" w:cs="Times New Roman"/>
            <w:noProof/>
            <w:sz w:val="24"/>
            <w:szCs w:val="24"/>
          </w:rPr>
        </w:r>
        <w:r w:rsidR="005406F2">
          <w:rPr>
            <w:rFonts w:ascii="Times New Roman" w:hAnsi="Times New Roman" w:cs="Times New Roman"/>
            <w:noProof/>
            <w:sz w:val="24"/>
            <w:szCs w:val="24"/>
          </w:rPr>
          <w:fldChar w:fldCharType="separate"/>
        </w:r>
        <w:r>
          <w:rPr>
            <w:rFonts w:ascii="Times New Roman" w:hAnsi="Times New Roman" w:cs="Times New Roman"/>
            <w:noProof/>
            <w:sz w:val="24"/>
            <w:szCs w:val="24"/>
          </w:rPr>
          <w:t>11</w:t>
        </w:r>
        <w:r w:rsidR="005406F2">
          <w:rPr>
            <w:rFonts w:ascii="Times New Roman" w:hAnsi="Times New Roman" w:cs="Times New Roman"/>
            <w:noProof/>
            <w:sz w:val="24"/>
            <w:szCs w:val="24"/>
          </w:rPr>
          <w:fldChar w:fldCharType="end"/>
        </w:r>
      </w:hyperlink>
    </w:p>
    <w:p w14:paraId="4077BB0E" w14:textId="77777777" w:rsidR="00BB7E47" w:rsidRDefault="00191CE8">
      <w:pPr>
        <w:pStyle w:val="10"/>
        <w:tabs>
          <w:tab w:val="right" w:leader="dot" w:pos="8302"/>
        </w:tabs>
        <w:spacing w:after="0" w:line="360" w:lineRule="auto"/>
        <w:jc w:val="center"/>
        <w:rPr>
          <w:rFonts w:ascii="Times New Roman" w:hAnsi="Times New Roman" w:cs="Times New Roman"/>
          <w:noProof/>
          <w:sz w:val="24"/>
          <w:szCs w:val="24"/>
        </w:rPr>
      </w:pPr>
      <w:hyperlink w:anchor="_Toc440289534" w:tooltip="Current Document" w:history="1">
        <w:r w:rsidR="005406F2">
          <w:rPr>
            <w:rFonts w:ascii="Times New Roman" w:hAnsi="Times New Roman" w:cs="Times New Roman"/>
            <w:noProof/>
            <w:sz w:val="24"/>
            <w:szCs w:val="24"/>
          </w:rPr>
          <w:t>六、指令的发送、确认及执行</w:t>
        </w:r>
        <w:r w:rsidR="005406F2">
          <w:rPr>
            <w:rFonts w:ascii="Times New Roman" w:hAnsi="Times New Roman" w:cs="Times New Roman"/>
            <w:noProof/>
            <w:sz w:val="24"/>
            <w:szCs w:val="24"/>
          </w:rPr>
          <w:tab/>
        </w:r>
        <w:r w:rsidR="005406F2">
          <w:rPr>
            <w:rFonts w:ascii="Times New Roman" w:hAnsi="Times New Roman" w:cs="Times New Roman"/>
            <w:noProof/>
            <w:sz w:val="24"/>
            <w:szCs w:val="24"/>
          </w:rPr>
          <w:fldChar w:fldCharType="begin"/>
        </w:r>
        <w:r w:rsidR="005406F2">
          <w:rPr>
            <w:rFonts w:ascii="Times New Roman" w:hAnsi="Times New Roman" w:cs="Times New Roman"/>
            <w:noProof/>
            <w:sz w:val="24"/>
            <w:szCs w:val="24"/>
          </w:rPr>
          <w:instrText xml:space="preserve"> PAGEREF _Toc440289534 \h </w:instrText>
        </w:r>
        <w:r w:rsidR="005406F2">
          <w:rPr>
            <w:rFonts w:ascii="Times New Roman" w:hAnsi="Times New Roman" w:cs="Times New Roman"/>
            <w:noProof/>
            <w:sz w:val="24"/>
            <w:szCs w:val="24"/>
          </w:rPr>
        </w:r>
        <w:r w:rsidR="005406F2">
          <w:rPr>
            <w:rFonts w:ascii="Times New Roman" w:hAnsi="Times New Roman" w:cs="Times New Roman"/>
            <w:noProof/>
            <w:sz w:val="24"/>
            <w:szCs w:val="24"/>
          </w:rPr>
          <w:fldChar w:fldCharType="separate"/>
        </w:r>
        <w:r>
          <w:rPr>
            <w:rFonts w:ascii="Times New Roman" w:hAnsi="Times New Roman" w:cs="Times New Roman"/>
            <w:noProof/>
            <w:sz w:val="24"/>
            <w:szCs w:val="24"/>
          </w:rPr>
          <w:t>15</w:t>
        </w:r>
        <w:r w:rsidR="005406F2">
          <w:rPr>
            <w:rFonts w:ascii="Times New Roman" w:hAnsi="Times New Roman" w:cs="Times New Roman"/>
            <w:noProof/>
            <w:sz w:val="24"/>
            <w:szCs w:val="24"/>
          </w:rPr>
          <w:fldChar w:fldCharType="end"/>
        </w:r>
      </w:hyperlink>
    </w:p>
    <w:p w14:paraId="4C4FD064" w14:textId="77777777" w:rsidR="00BB7E47" w:rsidRDefault="00191CE8">
      <w:pPr>
        <w:pStyle w:val="10"/>
        <w:tabs>
          <w:tab w:val="right" w:leader="dot" w:pos="8302"/>
        </w:tabs>
        <w:spacing w:after="0" w:line="360" w:lineRule="auto"/>
        <w:jc w:val="center"/>
        <w:rPr>
          <w:rFonts w:ascii="Times New Roman" w:hAnsi="Times New Roman" w:cs="Times New Roman"/>
          <w:noProof/>
          <w:sz w:val="24"/>
          <w:szCs w:val="24"/>
        </w:rPr>
      </w:pPr>
      <w:hyperlink w:anchor="_Toc440289535" w:tooltip="Current Document" w:history="1">
        <w:r w:rsidR="005406F2">
          <w:rPr>
            <w:rFonts w:ascii="Times New Roman" w:hAnsi="Times New Roman" w:cs="Times New Roman"/>
            <w:noProof/>
            <w:sz w:val="24"/>
            <w:szCs w:val="24"/>
          </w:rPr>
          <w:t>七、交易及清算交收安排</w:t>
        </w:r>
        <w:r w:rsidR="005406F2">
          <w:rPr>
            <w:rFonts w:ascii="Times New Roman" w:hAnsi="Times New Roman" w:cs="Times New Roman"/>
            <w:noProof/>
            <w:sz w:val="24"/>
            <w:szCs w:val="24"/>
          </w:rPr>
          <w:tab/>
        </w:r>
        <w:r w:rsidR="005406F2">
          <w:rPr>
            <w:rFonts w:ascii="Times New Roman" w:hAnsi="Times New Roman" w:cs="Times New Roman"/>
            <w:noProof/>
            <w:sz w:val="24"/>
            <w:szCs w:val="24"/>
          </w:rPr>
          <w:fldChar w:fldCharType="begin"/>
        </w:r>
        <w:r w:rsidR="005406F2">
          <w:rPr>
            <w:rFonts w:ascii="Times New Roman" w:hAnsi="Times New Roman" w:cs="Times New Roman"/>
            <w:noProof/>
            <w:sz w:val="24"/>
            <w:szCs w:val="24"/>
          </w:rPr>
          <w:instrText xml:space="preserve"> PAGEREF _Toc440289535 \h </w:instrText>
        </w:r>
        <w:r w:rsidR="005406F2">
          <w:rPr>
            <w:rFonts w:ascii="Times New Roman" w:hAnsi="Times New Roman" w:cs="Times New Roman"/>
            <w:noProof/>
            <w:sz w:val="24"/>
            <w:szCs w:val="24"/>
          </w:rPr>
        </w:r>
        <w:r w:rsidR="005406F2">
          <w:rPr>
            <w:rFonts w:ascii="Times New Roman" w:hAnsi="Times New Roman" w:cs="Times New Roman"/>
            <w:noProof/>
            <w:sz w:val="24"/>
            <w:szCs w:val="24"/>
          </w:rPr>
          <w:fldChar w:fldCharType="separate"/>
        </w:r>
        <w:r>
          <w:rPr>
            <w:rFonts w:ascii="Times New Roman" w:hAnsi="Times New Roman" w:cs="Times New Roman"/>
            <w:noProof/>
            <w:sz w:val="24"/>
            <w:szCs w:val="24"/>
          </w:rPr>
          <w:t>19</w:t>
        </w:r>
        <w:r w:rsidR="005406F2">
          <w:rPr>
            <w:rFonts w:ascii="Times New Roman" w:hAnsi="Times New Roman" w:cs="Times New Roman"/>
            <w:noProof/>
            <w:sz w:val="24"/>
            <w:szCs w:val="24"/>
          </w:rPr>
          <w:fldChar w:fldCharType="end"/>
        </w:r>
      </w:hyperlink>
    </w:p>
    <w:p w14:paraId="2CFA7109" w14:textId="77777777" w:rsidR="00BB7E47" w:rsidRDefault="00191CE8">
      <w:pPr>
        <w:pStyle w:val="10"/>
        <w:tabs>
          <w:tab w:val="right" w:leader="dot" w:pos="8302"/>
        </w:tabs>
        <w:spacing w:after="0" w:line="360" w:lineRule="auto"/>
        <w:jc w:val="center"/>
        <w:rPr>
          <w:rFonts w:ascii="Times New Roman" w:hAnsi="Times New Roman" w:cs="Times New Roman"/>
          <w:noProof/>
          <w:sz w:val="24"/>
          <w:szCs w:val="24"/>
        </w:rPr>
      </w:pPr>
      <w:hyperlink w:anchor="_Toc440289536" w:tooltip="Current Document" w:history="1">
        <w:r w:rsidR="005406F2">
          <w:rPr>
            <w:rFonts w:ascii="Times New Roman" w:hAnsi="Times New Roman" w:cs="Times New Roman"/>
            <w:noProof/>
            <w:sz w:val="24"/>
            <w:szCs w:val="24"/>
          </w:rPr>
          <w:t>八、基金资产净值计算和会计核算</w:t>
        </w:r>
        <w:r w:rsidR="005406F2">
          <w:rPr>
            <w:rFonts w:ascii="Times New Roman" w:hAnsi="Times New Roman" w:cs="Times New Roman"/>
            <w:noProof/>
            <w:sz w:val="24"/>
            <w:szCs w:val="24"/>
          </w:rPr>
          <w:tab/>
        </w:r>
        <w:r w:rsidR="005406F2">
          <w:rPr>
            <w:rFonts w:ascii="Times New Roman" w:hAnsi="Times New Roman" w:cs="Times New Roman"/>
            <w:noProof/>
            <w:sz w:val="24"/>
            <w:szCs w:val="24"/>
          </w:rPr>
          <w:fldChar w:fldCharType="begin"/>
        </w:r>
        <w:r w:rsidR="005406F2">
          <w:rPr>
            <w:rFonts w:ascii="Times New Roman" w:hAnsi="Times New Roman" w:cs="Times New Roman"/>
            <w:noProof/>
            <w:sz w:val="24"/>
            <w:szCs w:val="24"/>
          </w:rPr>
          <w:instrText xml:space="preserve"> PAGEREF _Toc440289536 \h </w:instrText>
        </w:r>
        <w:r w:rsidR="005406F2">
          <w:rPr>
            <w:rFonts w:ascii="Times New Roman" w:hAnsi="Times New Roman" w:cs="Times New Roman"/>
            <w:noProof/>
            <w:sz w:val="24"/>
            <w:szCs w:val="24"/>
          </w:rPr>
        </w:r>
        <w:r w:rsidR="005406F2">
          <w:rPr>
            <w:rFonts w:ascii="Times New Roman" w:hAnsi="Times New Roman" w:cs="Times New Roman"/>
            <w:noProof/>
            <w:sz w:val="24"/>
            <w:szCs w:val="24"/>
          </w:rPr>
          <w:fldChar w:fldCharType="separate"/>
        </w:r>
        <w:r>
          <w:rPr>
            <w:rFonts w:ascii="Times New Roman" w:hAnsi="Times New Roman" w:cs="Times New Roman"/>
            <w:noProof/>
            <w:sz w:val="24"/>
            <w:szCs w:val="24"/>
          </w:rPr>
          <w:t>25</w:t>
        </w:r>
        <w:r w:rsidR="005406F2">
          <w:rPr>
            <w:rFonts w:ascii="Times New Roman" w:hAnsi="Times New Roman" w:cs="Times New Roman"/>
            <w:noProof/>
            <w:sz w:val="24"/>
            <w:szCs w:val="24"/>
          </w:rPr>
          <w:fldChar w:fldCharType="end"/>
        </w:r>
      </w:hyperlink>
    </w:p>
    <w:p w14:paraId="1ECF1E8B" w14:textId="77777777" w:rsidR="00BB7E47" w:rsidRDefault="00191CE8">
      <w:pPr>
        <w:pStyle w:val="10"/>
        <w:tabs>
          <w:tab w:val="right" w:leader="dot" w:pos="8302"/>
        </w:tabs>
        <w:spacing w:after="0" w:line="360" w:lineRule="auto"/>
        <w:jc w:val="center"/>
        <w:rPr>
          <w:rFonts w:ascii="Times New Roman" w:hAnsi="Times New Roman" w:cs="Times New Roman"/>
          <w:noProof/>
          <w:sz w:val="24"/>
          <w:szCs w:val="24"/>
        </w:rPr>
      </w:pPr>
      <w:hyperlink w:anchor="_Toc440289538" w:tooltip="Current Document" w:history="1">
        <w:r w:rsidR="005406F2">
          <w:rPr>
            <w:rFonts w:ascii="Times New Roman" w:hAnsi="Times New Roman" w:cs="Times New Roman"/>
            <w:noProof/>
            <w:sz w:val="24"/>
            <w:szCs w:val="24"/>
          </w:rPr>
          <w:t>九、基金收益分</w:t>
        </w:r>
        <w:bookmarkStart w:id="0" w:name="_GoBack"/>
        <w:bookmarkEnd w:id="0"/>
        <w:r w:rsidR="005406F2">
          <w:rPr>
            <w:rFonts w:ascii="Times New Roman" w:hAnsi="Times New Roman" w:cs="Times New Roman"/>
            <w:noProof/>
            <w:sz w:val="24"/>
            <w:szCs w:val="24"/>
          </w:rPr>
          <w:t>配</w:t>
        </w:r>
        <w:r w:rsidR="005406F2">
          <w:rPr>
            <w:rFonts w:ascii="Times New Roman" w:hAnsi="Times New Roman" w:cs="Times New Roman"/>
            <w:noProof/>
            <w:sz w:val="24"/>
            <w:szCs w:val="24"/>
          </w:rPr>
          <w:tab/>
        </w:r>
        <w:r w:rsidR="005406F2">
          <w:rPr>
            <w:rFonts w:ascii="Times New Roman" w:hAnsi="Times New Roman" w:cs="Times New Roman"/>
            <w:noProof/>
            <w:sz w:val="24"/>
            <w:szCs w:val="24"/>
          </w:rPr>
          <w:fldChar w:fldCharType="begin"/>
        </w:r>
        <w:r w:rsidR="005406F2">
          <w:rPr>
            <w:rFonts w:ascii="Times New Roman" w:hAnsi="Times New Roman" w:cs="Times New Roman"/>
            <w:noProof/>
            <w:sz w:val="24"/>
            <w:szCs w:val="24"/>
          </w:rPr>
          <w:instrText xml:space="preserve"> PAGEREF _Toc440289538 \h </w:instrText>
        </w:r>
        <w:r w:rsidR="005406F2">
          <w:rPr>
            <w:rFonts w:ascii="Times New Roman" w:hAnsi="Times New Roman" w:cs="Times New Roman"/>
            <w:noProof/>
            <w:sz w:val="24"/>
            <w:szCs w:val="24"/>
          </w:rPr>
        </w:r>
        <w:r w:rsidR="005406F2">
          <w:rPr>
            <w:rFonts w:ascii="Times New Roman" w:hAnsi="Times New Roman" w:cs="Times New Roman"/>
            <w:noProof/>
            <w:sz w:val="24"/>
            <w:szCs w:val="24"/>
          </w:rPr>
          <w:fldChar w:fldCharType="separate"/>
        </w:r>
        <w:r>
          <w:rPr>
            <w:rFonts w:ascii="Times New Roman" w:hAnsi="Times New Roman" w:cs="Times New Roman"/>
            <w:noProof/>
            <w:sz w:val="24"/>
            <w:szCs w:val="24"/>
          </w:rPr>
          <w:t>30</w:t>
        </w:r>
        <w:r w:rsidR="005406F2">
          <w:rPr>
            <w:rFonts w:ascii="Times New Roman" w:hAnsi="Times New Roman" w:cs="Times New Roman"/>
            <w:noProof/>
            <w:sz w:val="24"/>
            <w:szCs w:val="24"/>
          </w:rPr>
          <w:fldChar w:fldCharType="end"/>
        </w:r>
      </w:hyperlink>
    </w:p>
    <w:p w14:paraId="0AD37DC9" w14:textId="77777777" w:rsidR="00BB7E47" w:rsidRDefault="00191CE8">
      <w:pPr>
        <w:pStyle w:val="10"/>
        <w:tabs>
          <w:tab w:val="right" w:leader="dot" w:pos="8302"/>
        </w:tabs>
        <w:spacing w:after="0" w:line="360" w:lineRule="auto"/>
        <w:jc w:val="center"/>
        <w:rPr>
          <w:rFonts w:ascii="Times New Roman" w:hAnsi="Times New Roman" w:cs="Times New Roman"/>
          <w:noProof/>
          <w:sz w:val="24"/>
          <w:szCs w:val="24"/>
        </w:rPr>
      </w:pPr>
      <w:hyperlink w:anchor="_Toc440289539" w:tooltip="Current Document" w:history="1">
        <w:r w:rsidR="005406F2">
          <w:rPr>
            <w:rFonts w:ascii="Times New Roman" w:hAnsi="Times New Roman" w:cs="Times New Roman"/>
            <w:noProof/>
            <w:sz w:val="24"/>
            <w:szCs w:val="24"/>
          </w:rPr>
          <w:t>十、基金信息披露</w:t>
        </w:r>
        <w:r w:rsidR="005406F2">
          <w:rPr>
            <w:rFonts w:ascii="Times New Roman" w:hAnsi="Times New Roman" w:cs="Times New Roman"/>
            <w:noProof/>
            <w:sz w:val="24"/>
            <w:szCs w:val="24"/>
          </w:rPr>
          <w:tab/>
        </w:r>
        <w:r w:rsidR="005406F2">
          <w:rPr>
            <w:rFonts w:ascii="Times New Roman" w:hAnsi="Times New Roman" w:cs="Times New Roman"/>
            <w:noProof/>
            <w:sz w:val="24"/>
            <w:szCs w:val="24"/>
          </w:rPr>
          <w:fldChar w:fldCharType="begin"/>
        </w:r>
        <w:r w:rsidR="005406F2">
          <w:rPr>
            <w:rFonts w:ascii="Times New Roman" w:hAnsi="Times New Roman" w:cs="Times New Roman"/>
            <w:noProof/>
            <w:sz w:val="24"/>
            <w:szCs w:val="24"/>
          </w:rPr>
          <w:instrText xml:space="preserve"> PAGEREF _Toc440289539 \h </w:instrText>
        </w:r>
        <w:r w:rsidR="005406F2">
          <w:rPr>
            <w:rFonts w:ascii="Times New Roman" w:hAnsi="Times New Roman" w:cs="Times New Roman"/>
            <w:noProof/>
            <w:sz w:val="24"/>
            <w:szCs w:val="24"/>
          </w:rPr>
        </w:r>
        <w:r w:rsidR="005406F2">
          <w:rPr>
            <w:rFonts w:ascii="Times New Roman" w:hAnsi="Times New Roman" w:cs="Times New Roman"/>
            <w:noProof/>
            <w:sz w:val="24"/>
            <w:szCs w:val="24"/>
          </w:rPr>
          <w:fldChar w:fldCharType="separate"/>
        </w:r>
        <w:r>
          <w:rPr>
            <w:rFonts w:ascii="Times New Roman" w:hAnsi="Times New Roman" w:cs="Times New Roman"/>
            <w:noProof/>
            <w:sz w:val="24"/>
            <w:szCs w:val="24"/>
          </w:rPr>
          <w:t>32</w:t>
        </w:r>
        <w:r w:rsidR="005406F2">
          <w:rPr>
            <w:rFonts w:ascii="Times New Roman" w:hAnsi="Times New Roman" w:cs="Times New Roman"/>
            <w:noProof/>
            <w:sz w:val="24"/>
            <w:szCs w:val="24"/>
          </w:rPr>
          <w:fldChar w:fldCharType="end"/>
        </w:r>
      </w:hyperlink>
    </w:p>
    <w:p w14:paraId="6E8D3FD7" w14:textId="77777777" w:rsidR="00BB7E47" w:rsidRDefault="00191CE8">
      <w:pPr>
        <w:pStyle w:val="10"/>
        <w:tabs>
          <w:tab w:val="right" w:leader="dot" w:pos="8302"/>
        </w:tabs>
        <w:spacing w:after="0" w:line="360" w:lineRule="auto"/>
        <w:jc w:val="center"/>
        <w:rPr>
          <w:rFonts w:ascii="Times New Roman" w:hAnsi="Times New Roman" w:cs="Times New Roman"/>
          <w:noProof/>
          <w:sz w:val="24"/>
          <w:szCs w:val="24"/>
        </w:rPr>
      </w:pPr>
      <w:hyperlink w:anchor="_Toc440289541" w:tooltip="Current Document" w:history="1">
        <w:r w:rsidR="005406F2">
          <w:rPr>
            <w:rFonts w:ascii="Times New Roman" w:hAnsi="Times New Roman" w:cs="Times New Roman"/>
            <w:noProof/>
            <w:sz w:val="24"/>
            <w:szCs w:val="24"/>
          </w:rPr>
          <w:t>十一、基金费用</w:t>
        </w:r>
        <w:r w:rsidR="005406F2">
          <w:rPr>
            <w:rFonts w:ascii="Times New Roman" w:hAnsi="Times New Roman" w:cs="Times New Roman"/>
            <w:noProof/>
            <w:sz w:val="24"/>
            <w:szCs w:val="24"/>
          </w:rPr>
          <w:tab/>
        </w:r>
        <w:r w:rsidR="005406F2">
          <w:rPr>
            <w:rFonts w:ascii="Times New Roman" w:hAnsi="Times New Roman" w:cs="Times New Roman"/>
            <w:noProof/>
            <w:sz w:val="24"/>
            <w:szCs w:val="24"/>
          </w:rPr>
          <w:fldChar w:fldCharType="begin"/>
        </w:r>
        <w:r w:rsidR="005406F2">
          <w:rPr>
            <w:rFonts w:ascii="Times New Roman" w:hAnsi="Times New Roman" w:cs="Times New Roman"/>
            <w:noProof/>
            <w:sz w:val="24"/>
            <w:szCs w:val="24"/>
          </w:rPr>
          <w:instrText xml:space="preserve"> PAGEREF _Toc440289541 \h </w:instrText>
        </w:r>
        <w:r w:rsidR="005406F2">
          <w:rPr>
            <w:rFonts w:ascii="Times New Roman" w:hAnsi="Times New Roman" w:cs="Times New Roman"/>
            <w:noProof/>
            <w:sz w:val="24"/>
            <w:szCs w:val="24"/>
          </w:rPr>
        </w:r>
        <w:r w:rsidR="005406F2">
          <w:rPr>
            <w:rFonts w:ascii="Times New Roman" w:hAnsi="Times New Roman" w:cs="Times New Roman"/>
            <w:noProof/>
            <w:sz w:val="24"/>
            <w:szCs w:val="24"/>
          </w:rPr>
          <w:fldChar w:fldCharType="separate"/>
        </w:r>
        <w:r>
          <w:rPr>
            <w:rFonts w:ascii="Times New Roman" w:hAnsi="Times New Roman" w:cs="Times New Roman"/>
            <w:noProof/>
            <w:sz w:val="24"/>
            <w:szCs w:val="24"/>
          </w:rPr>
          <w:t>35</w:t>
        </w:r>
        <w:r w:rsidR="005406F2">
          <w:rPr>
            <w:rFonts w:ascii="Times New Roman" w:hAnsi="Times New Roman" w:cs="Times New Roman"/>
            <w:noProof/>
            <w:sz w:val="24"/>
            <w:szCs w:val="24"/>
          </w:rPr>
          <w:fldChar w:fldCharType="end"/>
        </w:r>
      </w:hyperlink>
    </w:p>
    <w:p w14:paraId="3BD7014F" w14:textId="77777777" w:rsidR="00BB7E47" w:rsidRDefault="00191CE8">
      <w:pPr>
        <w:pStyle w:val="10"/>
        <w:tabs>
          <w:tab w:val="right" w:leader="dot" w:pos="8302"/>
        </w:tabs>
        <w:spacing w:after="0" w:line="360" w:lineRule="auto"/>
        <w:jc w:val="center"/>
        <w:rPr>
          <w:rFonts w:ascii="Times New Roman" w:hAnsi="Times New Roman" w:cs="Times New Roman"/>
          <w:noProof/>
          <w:sz w:val="24"/>
          <w:szCs w:val="24"/>
        </w:rPr>
      </w:pPr>
      <w:hyperlink w:anchor="_Toc440289542" w:tooltip="Current Document" w:history="1">
        <w:r w:rsidR="005406F2">
          <w:rPr>
            <w:rFonts w:ascii="Times New Roman" w:hAnsi="Times New Roman" w:cs="Times New Roman"/>
            <w:noProof/>
            <w:sz w:val="24"/>
            <w:szCs w:val="24"/>
          </w:rPr>
          <w:t>十二、基金份额持有人名册的保管</w:t>
        </w:r>
        <w:r w:rsidR="005406F2">
          <w:rPr>
            <w:rFonts w:ascii="Times New Roman" w:hAnsi="Times New Roman" w:cs="Times New Roman"/>
            <w:noProof/>
            <w:sz w:val="24"/>
            <w:szCs w:val="24"/>
          </w:rPr>
          <w:tab/>
        </w:r>
        <w:r w:rsidR="005406F2">
          <w:rPr>
            <w:rFonts w:ascii="Times New Roman" w:hAnsi="Times New Roman" w:cs="Times New Roman"/>
            <w:noProof/>
            <w:sz w:val="24"/>
            <w:szCs w:val="24"/>
          </w:rPr>
          <w:fldChar w:fldCharType="begin"/>
        </w:r>
        <w:r w:rsidR="005406F2">
          <w:rPr>
            <w:rFonts w:ascii="Times New Roman" w:hAnsi="Times New Roman" w:cs="Times New Roman"/>
            <w:noProof/>
            <w:sz w:val="24"/>
            <w:szCs w:val="24"/>
          </w:rPr>
          <w:instrText xml:space="preserve"> PAGEREF _Toc440289542 \h </w:instrText>
        </w:r>
        <w:r w:rsidR="005406F2">
          <w:rPr>
            <w:rFonts w:ascii="Times New Roman" w:hAnsi="Times New Roman" w:cs="Times New Roman"/>
            <w:noProof/>
            <w:sz w:val="24"/>
            <w:szCs w:val="24"/>
          </w:rPr>
        </w:r>
        <w:r w:rsidR="005406F2">
          <w:rPr>
            <w:rFonts w:ascii="Times New Roman" w:hAnsi="Times New Roman" w:cs="Times New Roman"/>
            <w:noProof/>
            <w:sz w:val="24"/>
            <w:szCs w:val="24"/>
          </w:rPr>
          <w:fldChar w:fldCharType="separate"/>
        </w:r>
        <w:r>
          <w:rPr>
            <w:rFonts w:ascii="Times New Roman" w:hAnsi="Times New Roman" w:cs="Times New Roman"/>
            <w:noProof/>
            <w:sz w:val="24"/>
            <w:szCs w:val="24"/>
          </w:rPr>
          <w:t>37</w:t>
        </w:r>
        <w:r w:rsidR="005406F2">
          <w:rPr>
            <w:rFonts w:ascii="Times New Roman" w:hAnsi="Times New Roman" w:cs="Times New Roman"/>
            <w:noProof/>
            <w:sz w:val="24"/>
            <w:szCs w:val="24"/>
          </w:rPr>
          <w:fldChar w:fldCharType="end"/>
        </w:r>
      </w:hyperlink>
    </w:p>
    <w:p w14:paraId="425A043F" w14:textId="77777777" w:rsidR="00BB7E47" w:rsidRDefault="00191CE8">
      <w:pPr>
        <w:pStyle w:val="10"/>
        <w:tabs>
          <w:tab w:val="right" w:leader="dot" w:pos="8302"/>
        </w:tabs>
        <w:spacing w:after="0" w:line="360" w:lineRule="auto"/>
        <w:jc w:val="center"/>
        <w:rPr>
          <w:rFonts w:ascii="Times New Roman" w:hAnsi="Times New Roman" w:cs="Times New Roman"/>
          <w:noProof/>
          <w:sz w:val="24"/>
          <w:szCs w:val="24"/>
        </w:rPr>
      </w:pPr>
      <w:hyperlink w:anchor="_Toc440289543" w:tooltip="Current Document" w:history="1">
        <w:r w:rsidR="005406F2">
          <w:rPr>
            <w:rFonts w:ascii="Times New Roman" w:hAnsi="Times New Roman" w:cs="Times New Roman"/>
            <w:noProof/>
            <w:sz w:val="24"/>
            <w:szCs w:val="24"/>
          </w:rPr>
          <w:t>十三、基金有关文件档案的保存</w:t>
        </w:r>
        <w:r w:rsidR="005406F2">
          <w:rPr>
            <w:rFonts w:ascii="Times New Roman" w:hAnsi="Times New Roman" w:cs="Times New Roman"/>
            <w:noProof/>
            <w:sz w:val="24"/>
            <w:szCs w:val="24"/>
          </w:rPr>
          <w:tab/>
        </w:r>
        <w:r w:rsidR="005406F2">
          <w:rPr>
            <w:rFonts w:ascii="Times New Roman" w:hAnsi="Times New Roman" w:cs="Times New Roman"/>
            <w:noProof/>
            <w:sz w:val="24"/>
            <w:szCs w:val="24"/>
          </w:rPr>
          <w:fldChar w:fldCharType="begin"/>
        </w:r>
        <w:r w:rsidR="005406F2">
          <w:rPr>
            <w:rFonts w:ascii="Times New Roman" w:hAnsi="Times New Roman" w:cs="Times New Roman"/>
            <w:noProof/>
            <w:sz w:val="24"/>
            <w:szCs w:val="24"/>
          </w:rPr>
          <w:instrText xml:space="preserve"> PAGEREF _Toc440289543 \h </w:instrText>
        </w:r>
        <w:r w:rsidR="005406F2">
          <w:rPr>
            <w:rFonts w:ascii="Times New Roman" w:hAnsi="Times New Roman" w:cs="Times New Roman"/>
            <w:noProof/>
            <w:sz w:val="24"/>
            <w:szCs w:val="24"/>
          </w:rPr>
        </w:r>
        <w:r w:rsidR="005406F2">
          <w:rPr>
            <w:rFonts w:ascii="Times New Roman" w:hAnsi="Times New Roman" w:cs="Times New Roman"/>
            <w:noProof/>
            <w:sz w:val="24"/>
            <w:szCs w:val="24"/>
          </w:rPr>
          <w:fldChar w:fldCharType="separate"/>
        </w:r>
        <w:r>
          <w:rPr>
            <w:rFonts w:ascii="Times New Roman" w:hAnsi="Times New Roman" w:cs="Times New Roman"/>
            <w:noProof/>
            <w:sz w:val="24"/>
            <w:szCs w:val="24"/>
          </w:rPr>
          <w:t>38</w:t>
        </w:r>
        <w:r w:rsidR="005406F2">
          <w:rPr>
            <w:rFonts w:ascii="Times New Roman" w:hAnsi="Times New Roman" w:cs="Times New Roman"/>
            <w:noProof/>
            <w:sz w:val="24"/>
            <w:szCs w:val="24"/>
          </w:rPr>
          <w:fldChar w:fldCharType="end"/>
        </w:r>
      </w:hyperlink>
    </w:p>
    <w:p w14:paraId="1261C8D8" w14:textId="77777777" w:rsidR="00BB7E47" w:rsidRDefault="00191CE8">
      <w:pPr>
        <w:pStyle w:val="10"/>
        <w:tabs>
          <w:tab w:val="right" w:leader="dot" w:pos="8302"/>
        </w:tabs>
        <w:spacing w:after="0" w:line="360" w:lineRule="auto"/>
        <w:jc w:val="center"/>
        <w:rPr>
          <w:rFonts w:ascii="Times New Roman" w:hAnsi="Times New Roman" w:cs="Times New Roman"/>
          <w:noProof/>
          <w:sz w:val="24"/>
          <w:szCs w:val="24"/>
        </w:rPr>
      </w:pPr>
      <w:hyperlink w:anchor="_Toc440289544" w:tooltip="Current Document" w:history="1">
        <w:r w:rsidR="005406F2">
          <w:rPr>
            <w:rFonts w:ascii="Times New Roman" w:hAnsi="Times New Roman" w:cs="Times New Roman"/>
            <w:noProof/>
            <w:sz w:val="24"/>
            <w:szCs w:val="24"/>
          </w:rPr>
          <w:t>十四、基金管理人和基金托管人的更换</w:t>
        </w:r>
        <w:r w:rsidR="005406F2">
          <w:rPr>
            <w:rFonts w:ascii="Times New Roman" w:hAnsi="Times New Roman" w:cs="Times New Roman"/>
            <w:noProof/>
            <w:sz w:val="24"/>
            <w:szCs w:val="24"/>
          </w:rPr>
          <w:tab/>
        </w:r>
        <w:r w:rsidR="005406F2">
          <w:rPr>
            <w:rFonts w:ascii="Times New Roman" w:hAnsi="Times New Roman" w:cs="Times New Roman"/>
            <w:noProof/>
            <w:sz w:val="24"/>
            <w:szCs w:val="24"/>
          </w:rPr>
          <w:fldChar w:fldCharType="begin"/>
        </w:r>
        <w:r w:rsidR="005406F2">
          <w:rPr>
            <w:rFonts w:ascii="Times New Roman" w:hAnsi="Times New Roman" w:cs="Times New Roman"/>
            <w:noProof/>
            <w:sz w:val="24"/>
            <w:szCs w:val="24"/>
          </w:rPr>
          <w:instrText xml:space="preserve"> PAGEREF _Toc440289544 \h </w:instrText>
        </w:r>
        <w:r w:rsidR="005406F2">
          <w:rPr>
            <w:rFonts w:ascii="Times New Roman" w:hAnsi="Times New Roman" w:cs="Times New Roman"/>
            <w:noProof/>
            <w:sz w:val="24"/>
            <w:szCs w:val="24"/>
          </w:rPr>
        </w:r>
        <w:r w:rsidR="005406F2">
          <w:rPr>
            <w:rFonts w:ascii="Times New Roman" w:hAnsi="Times New Roman" w:cs="Times New Roman"/>
            <w:noProof/>
            <w:sz w:val="24"/>
            <w:szCs w:val="24"/>
          </w:rPr>
          <w:fldChar w:fldCharType="separate"/>
        </w:r>
        <w:r>
          <w:rPr>
            <w:rFonts w:ascii="Times New Roman" w:hAnsi="Times New Roman" w:cs="Times New Roman"/>
            <w:noProof/>
            <w:sz w:val="24"/>
            <w:szCs w:val="24"/>
          </w:rPr>
          <w:t>39</w:t>
        </w:r>
        <w:r w:rsidR="005406F2">
          <w:rPr>
            <w:rFonts w:ascii="Times New Roman" w:hAnsi="Times New Roman" w:cs="Times New Roman"/>
            <w:noProof/>
            <w:sz w:val="24"/>
            <w:szCs w:val="24"/>
          </w:rPr>
          <w:fldChar w:fldCharType="end"/>
        </w:r>
      </w:hyperlink>
    </w:p>
    <w:p w14:paraId="4C62C5C8" w14:textId="77777777" w:rsidR="00BB7E47" w:rsidRDefault="00191CE8">
      <w:pPr>
        <w:pStyle w:val="10"/>
        <w:tabs>
          <w:tab w:val="right" w:leader="dot" w:pos="8302"/>
        </w:tabs>
        <w:spacing w:after="0" w:line="360" w:lineRule="auto"/>
        <w:jc w:val="center"/>
        <w:rPr>
          <w:rFonts w:ascii="Times New Roman" w:hAnsi="Times New Roman" w:cs="Times New Roman"/>
          <w:noProof/>
          <w:sz w:val="24"/>
          <w:szCs w:val="24"/>
        </w:rPr>
      </w:pPr>
      <w:hyperlink w:anchor="_Toc440289546" w:tooltip="Current Document" w:history="1">
        <w:r w:rsidR="005406F2">
          <w:rPr>
            <w:rFonts w:ascii="Times New Roman" w:hAnsi="Times New Roman" w:cs="Times New Roman"/>
            <w:noProof/>
            <w:sz w:val="24"/>
            <w:szCs w:val="24"/>
          </w:rPr>
          <w:t>十五、禁止行为</w:t>
        </w:r>
        <w:r w:rsidR="005406F2">
          <w:rPr>
            <w:rFonts w:ascii="Times New Roman" w:hAnsi="Times New Roman" w:cs="Times New Roman"/>
            <w:noProof/>
            <w:sz w:val="24"/>
            <w:szCs w:val="24"/>
          </w:rPr>
          <w:tab/>
        </w:r>
        <w:r w:rsidR="005406F2">
          <w:rPr>
            <w:rFonts w:ascii="Times New Roman" w:hAnsi="Times New Roman" w:cs="Times New Roman"/>
            <w:noProof/>
            <w:sz w:val="24"/>
            <w:szCs w:val="24"/>
          </w:rPr>
          <w:fldChar w:fldCharType="begin"/>
        </w:r>
        <w:r w:rsidR="005406F2">
          <w:rPr>
            <w:rFonts w:ascii="Times New Roman" w:hAnsi="Times New Roman" w:cs="Times New Roman"/>
            <w:noProof/>
            <w:sz w:val="24"/>
            <w:szCs w:val="24"/>
          </w:rPr>
          <w:instrText xml:space="preserve"> PAGEREF _Toc440289546 \h </w:instrText>
        </w:r>
        <w:r w:rsidR="005406F2">
          <w:rPr>
            <w:rFonts w:ascii="Times New Roman" w:hAnsi="Times New Roman" w:cs="Times New Roman"/>
            <w:noProof/>
            <w:sz w:val="24"/>
            <w:szCs w:val="24"/>
          </w:rPr>
        </w:r>
        <w:r w:rsidR="005406F2">
          <w:rPr>
            <w:rFonts w:ascii="Times New Roman" w:hAnsi="Times New Roman" w:cs="Times New Roman"/>
            <w:noProof/>
            <w:sz w:val="24"/>
            <w:szCs w:val="24"/>
          </w:rPr>
          <w:fldChar w:fldCharType="separate"/>
        </w:r>
        <w:r>
          <w:rPr>
            <w:rFonts w:ascii="Times New Roman" w:hAnsi="Times New Roman" w:cs="Times New Roman"/>
            <w:noProof/>
            <w:sz w:val="24"/>
            <w:szCs w:val="24"/>
          </w:rPr>
          <w:t>42</w:t>
        </w:r>
        <w:r w:rsidR="005406F2">
          <w:rPr>
            <w:rFonts w:ascii="Times New Roman" w:hAnsi="Times New Roman" w:cs="Times New Roman"/>
            <w:noProof/>
            <w:sz w:val="24"/>
            <w:szCs w:val="24"/>
          </w:rPr>
          <w:fldChar w:fldCharType="end"/>
        </w:r>
      </w:hyperlink>
    </w:p>
    <w:p w14:paraId="044A7628" w14:textId="77777777" w:rsidR="00BB7E47" w:rsidRDefault="00191CE8">
      <w:pPr>
        <w:pStyle w:val="10"/>
        <w:tabs>
          <w:tab w:val="right" w:leader="dot" w:pos="8302"/>
        </w:tabs>
        <w:spacing w:after="0" w:line="360" w:lineRule="auto"/>
        <w:jc w:val="center"/>
        <w:rPr>
          <w:rFonts w:ascii="Times New Roman" w:hAnsi="Times New Roman" w:cs="Times New Roman"/>
          <w:noProof/>
          <w:sz w:val="24"/>
          <w:szCs w:val="24"/>
        </w:rPr>
      </w:pPr>
      <w:hyperlink w:anchor="_Toc440289548" w:tooltip="Current Document" w:history="1">
        <w:r w:rsidR="005406F2">
          <w:rPr>
            <w:rFonts w:ascii="Times New Roman" w:hAnsi="Times New Roman" w:cs="Times New Roman"/>
            <w:noProof/>
            <w:sz w:val="24"/>
            <w:szCs w:val="24"/>
          </w:rPr>
          <w:t>十六、托管协议的变更、终止与基金财产的清算</w:t>
        </w:r>
        <w:r w:rsidR="005406F2">
          <w:rPr>
            <w:rFonts w:ascii="Times New Roman" w:hAnsi="Times New Roman" w:cs="Times New Roman"/>
            <w:noProof/>
            <w:sz w:val="24"/>
            <w:szCs w:val="24"/>
          </w:rPr>
          <w:tab/>
        </w:r>
        <w:r w:rsidR="005406F2">
          <w:rPr>
            <w:rFonts w:ascii="Times New Roman" w:hAnsi="Times New Roman" w:cs="Times New Roman"/>
            <w:noProof/>
            <w:sz w:val="24"/>
            <w:szCs w:val="24"/>
          </w:rPr>
          <w:fldChar w:fldCharType="begin"/>
        </w:r>
        <w:r w:rsidR="005406F2">
          <w:rPr>
            <w:rFonts w:ascii="Times New Roman" w:hAnsi="Times New Roman" w:cs="Times New Roman"/>
            <w:noProof/>
            <w:sz w:val="24"/>
            <w:szCs w:val="24"/>
          </w:rPr>
          <w:instrText xml:space="preserve"> PAGEREF _Toc440289548 \h </w:instrText>
        </w:r>
        <w:r w:rsidR="005406F2">
          <w:rPr>
            <w:rFonts w:ascii="Times New Roman" w:hAnsi="Times New Roman" w:cs="Times New Roman"/>
            <w:noProof/>
            <w:sz w:val="24"/>
            <w:szCs w:val="24"/>
          </w:rPr>
        </w:r>
        <w:r w:rsidR="005406F2">
          <w:rPr>
            <w:rFonts w:ascii="Times New Roman" w:hAnsi="Times New Roman" w:cs="Times New Roman"/>
            <w:noProof/>
            <w:sz w:val="24"/>
            <w:szCs w:val="24"/>
          </w:rPr>
          <w:fldChar w:fldCharType="separate"/>
        </w:r>
        <w:r>
          <w:rPr>
            <w:rFonts w:ascii="Times New Roman" w:hAnsi="Times New Roman" w:cs="Times New Roman"/>
            <w:noProof/>
            <w:sz w:val="24"/>
            <w:szCs w:val="24"/>
          </w:rPr>
          <w:t>43</w:t>
        </w:r>
        <w:r w:rsidR="005406F2">
          <w:rPr>
            <w:rFonts w:ascii="Times New Roman" w:hAnsi="Times New Roman" w:cs="Times New Roman"/>
            <w:noProof/>
            <w:sz w:val="24"/>
            <w:szCs w:val="24"/>
          </w:rPr>
          <w:fldChar w:fldCharType="end"/>
        </w:r>
      </w:hyperlink>
    </w:p>
    <w:p w14:paraId="37A3909B" w14:textId="77777777" w:rsidR="00BB7E47" w:rsidRDefault="00191CE8">
      <w:pPr>
        <w:pStyle w:val="10"/>
        <w:tabs>
          <w:tab w:val="right" w:leader="dot" w:pos="8302"/>
        </w:tabs>
        <w:spacing w:after="0" w:line="360" w:lineRule="auto"/>
        <w:jc w:val="center"/>
        <w:rPr>
          <w:rFonts w:ascii="Times New Roman" w:hAnsi="Times New Roman" w:cs="Times New Roman"/>
          <w:noProof/>
          <w:sz w:val="24"/>
          <w:szCs w:val="24"/>
        </w:rPr>
      </w:pPr>
      <w:hyperlink w:anchor="_Toc440289550" w:tooltip="Current Document" w:history="1">
        <w:r w:rsidR="005406F2">
          <w:rPr>
            <w:rFonts w:ascii="Times New Roman" w:hAnsi="Times New Roman" w:cs="Times New Roman"/>
            <w:noProof/>
            <w:sz w:val="24"/>
            <w:szCs w:val="24"/>
          </w:rPr>
          <w:t>十七、违约责任</w:t>
        </w:r>
        <w:r w:rsidR="005406F2">
          <w:rPr>
            <w:rFonts w:ascii="Times New Roman" w:hAnsi="Times New Roman" w:cs="Times New Roman"/>
            <w:noProof/>
            <w:sz w:val="24"/>
            <w:szCs w:val="24"/>
          </w:rPr>
          <w:tab/>
        </w:r>
        <w:r w:rsidR="005406F2">
          <w:rPr>
            <w:rFonts w:ascii="Times New Roman" w:hAnsi="Times New Roman" w:cs="Times New Roman"/>
            <w:noProof/>
            <w:sz w:val="24"/>
            <w:szCs w:val="24"/>
          </w:rPr>
          <w:fldChar w:fldCharType="begin"/>
        </w:r>
        <w:r w:rsidR="005406F2">
          <w:rPr>
            <w:rFonts w:ascii="Times New Roman" w:hAnsi="Times New Roman" w:cs="Times New Roman"/>
            <w:noProof/>
            <w:sz w:val="24"/>
            <w:szCs w:val="24"/>
          </w:rPr>
          <w:instrText xml:space="preserve"> PAGEREF _Toc440289550 \h </w:instrText>
        </w:r>
        <w:r w:rsidR="005406F2">
          <w:rPr>
            <w:rFonts w:ascii="Times New Roman" w:hAnsi="Times New Roman" w:cs="Times New Roman"/>
            <w:noProof/>
            <w:sz w:val="24"/>
            <w:szCs w:val="24"/>
          </w:rPr>
        </w:r>
        <w:r w:rsidR="005406F2">
          <w:rPr>
            <w:rFonts w:ascii="Times New Roman" w:hAnsi="Times New Roman" w:cs="Times New Roman"/>
            <w:noProof/>
            <w:sz w:val="24"/>
            <w:szCs w:val="24"/>
          </w:rPr>
          <w:fldChar w:fldCharType="separate"/>
        </w:r>
        <w:r>
          <w:rPr>
            <w:rFonts w:ascii="Times New Roman" w:hAnsi="Times New Roman" w:cs="Times New Roman"/>
            <w:noProof/>
            <w:sz w:val="24"/>
            <w:szCs w:val="24"/>
          </w:rPr>
          <w:t>47</w:t>
        </w:r>
        <w:r w:rsidR="005406F2">
          <w:rPr>
            <w:rFonts w:ascii="Times New Roman" w:hAnsi="Times New Roman" w:cs="Times New Roman"/>
            <w:noProof/>
            <w:sz w:val="24"/>
            <w:szCs w:val="24"/>
          </w:rPr>
          <w:fldChar w:fldCharType="end"/>
        </w:r>
      </w:hyperlink>
    </w:p>
    <w:p w14:paraId="18EF6D5E" w14:textId="77777777" w:rsidR="00BB7E47" w:rsidRDefault="00191CE8">
      <w:pPr>
        <w:pStyle w:val="10"/>
        <w:tabs>
          <w:tab w:val="right" w:leader="dot" w:pos="8302"/>
        </w:tabs>
        <w:spacing w:after="0" w:line="360" w:lineRule="auto"/>
        <w:jc w:val="center"/>
        <w:rPr>
          <w:rFonts w:ascii="Times New Roman" w:hAnsi="Times New Roman" w:cs="Times New Roman"/>
          <w:noProof/>
          <w:sz w:val="24"/>
          <w:szCs w:val="24"/>
        </w:rPr>
      </w:pPr>
      <w:hyperlink w:anchor="_Toc440289552" w:tooltip="Current Document" w:history="1">
        <w:r w:rsidR="005406F2">
          <w:rPr>
            <w:rFonts w:ascii="Times New Roman" w:hAnsi="Times New Roman" w:cs="Times New Roman"/>
            <w:noProof/>
            <w:sz w:val="24"/>
            <w:szCs w:val="24"/>
          </w:rPr>
          <w:t>十八、争议解决方式</w:t>
        </w:r>
        <w:r w:rsidR="005406F2">
          <w:rPr>
            <w:rFonts w:ascii="Times New Roman" w:hAnsi="Times New Roman" w:cs="Times New Roman"/>
            <w:noProof/>
            <w:sz w:val="24"/>
            <w:szCs w:val="24"/>
          </w:rPr>
          <w:tab/>
        </w:r>
        <w:r w:rsidR="005406F2">
          <w:rPr>
            <w:rFonts w:ascii="Times New Roman" w:hAnsi="Times New Roman" w:cs="Times New Roman"/>
            <w:noProof/>
            <w:sz w:val="24"/>
            <w:szCs w:val="24"/>
          </w:rPr>
          <w:fldChar w:fldCharType="begin"/>
        </w:r>
        <w:r w:rsidR="005406F2">
          <w:rPr>
            <w:rFonts w:ascii="Times New Roman" w:hAnsi="Times New Roman" w:cs="Times New Roman"/>
            <w:noProof/>
            <w:sz w:val="24"/>
            <w:szCs w:val="24"/>
          </w:rPr>
          <w:instrText xml:space="preserve"> PAGEREF _Toc440289552 \h </w:instrText>
        </w:r>
        <w:r w:rsidR="005406F2">
          <w:rPr>
            <w:rFonts w:ascii="Times New Roman" w:hAnsi="Times New Roman" w:cs="Times New Roman"/>
            <w:noProof/>
            <w:sz w:val="24"/>
            <w:szCs w:val="24"/>
          </w:rPr>
        </w:r>
        <w:r w:rsidR="005406F2">
          <w:rPr>
            <w:rFonts w:ascii="Times New Roman" w:hAnsi="Times New Roman" w:cs="Times New Roman"/>
            <w:noProof/>
            <w:sz w:val="24"/>
            <w:szCs w:val="24"/>
          </w:rPr>
          <w:fldChar w:fldCharType="separate"/>
        </w:r>
        <w:r>
          <w:rPr>
            <w:rFonts w:ascii="Times New Roman" w:hAnsi="Times New Roman" w:cs="Times New Roman"/>
            <w:noProof/>
            <w:sz w:val="24"/>
            <w:szCs w:val="24"/>
          </w:rPr>
          <w:t>49</w:t>
        </w:r>
        <w:r w:rsidR="005406F2">
          <w:rPr>
            <w:rFonts w:ascii="Times New Roman" w:hAnsi="Times New Roman" w:cs="Times New Roman"/>
            <w:noProof/>
            <w:sz w:val="24"/>
            <w:szCs w:val="24"/>
          </w:rPr>
          <w:fldChar w:fldCharType="end"/>
        </w:r>
      </w:hyperlink>
    </w:p>
    <w:p w14:paraId="34436792" w14:textId="77777777" w:rsidR="00BB7E47" w:rsidRDefault="00191CE8">
      <w:pPr>
        <w:pStyle w:val="10"/>
        <w:tabs>
          <w:tab w:val="right" w:leader="dot" w:pos="8302"/>
        </w:tabs>
        <w:spacing w:after="0" w:line="360" w:lineRule="auto"/>
        <w:jc w:val="center"/>
        <w:rPr>
          <w:rFonts w:ascii="Times New Roman" w:hAnsi="Times New Roman" w:cs="Times New Roman"/>
          <w:noProof/>
          <w:sz w:val="24"/>
          <w:szCs w:val="24"/>
        </w:rPr>
      </w:pPr>
      <w:hyperlink w:anchor="_Toc440289553" w:tooltip="Current Document" w:history="1">
        <w:r w:rsidR="005406F2">
          <w:rPr>
            <w:rFonts w:ascii="Times New Roman" w:hAnsi="Times New Roman" w:cs="Times New Roman"/>
            <w:noProof/>
            <w:sz w:val="24"/>
            <w:szCs w:val="24"/>
          </w:rPr>
          <w:t>十九、托管协议的效力</w:t>
        </w:r>
        <w:r w:rsidR="005406F2">
          <w:rPr>
            <w:rFonts w:ascii="Times New Roman" w:hAnsi="Times New Roman" w:cs="Times New Roman"/>
            <w:noProof/>
            <w:sz w:val="24"/>
            <w:szCs w:val="24"/>
          </w:rPr>
          <w:tab/>
        </w:r>
        <w:r w:rsidR="005406F2">
          <w:rPr>
            <w:rFonts w:ascii="Times New Roman" w:hAnsi="Times New Roman" w:cs="Times New Roman"/>
            <w:noProof/>
            <w:sz w:val="24"/>
            <w:szCs w:val="24"/>
          </w:rPr>
          <w:fldChar w:fldCharType="begin"/>
        </w:r>
        <w:r w:rsidR="005406F2">
          <w:rPr>
            <w:rFonts w:ascii="Times New Roman" w:hAnsi="Times New Roman" w:cs="Times New Roman"/>
            <w:noProof/>
            <w:sz w:val="24"/>
            <w:szCs w:val="24"/>
          </w:rPr>
          <w:instrText xml:space="preserve"> PAGEREF _Toc440289553 \h </w:instrText>
        </w:r>
        <w:r w:rsidR="005406F2">
          <w:rPr>
            <w:rFonts w:ascii="Times New Roman" w:hAnsi="Times New Roman" w:cs="Times New Roman"/>
            <w:noProof/>
            <w:sz w:val="24"/>
            <w:szCs w:val="24"/>
          </w:rPr>
        </w:r>
        <w:r w:rsidR="005406F2">
          <w:rPr>
            <w:rFonts w:ascii="Times New Roman" w:hAnsi="Times New Roman" w:cs="Times New Roman"/>
            <w:noProof/>
            <w:sz w:val="24"/>
            <w:szCs w:val="24"/>
          </w:rPr>
          <w:fldChar w:fldCharType="separate"/>
        </w:r>
        <w:r>
          <w:rPr>
            <w:rFonts w:ascii="Times New Roman" w:hAnsi="Times New Roman" w:cs="Times New Roman"/>
            <w:noProof/>
            <w:sz w:val="24"/>
            <w:szCs w:val="24"/>
          </w:rPr>
          <w:t>50</w:t>
        </w:r>
        <w:r w:rsidR="005406F2">
          <w:rPr>
            <w:rFonts w:ascii="Times New Roman" w:hAnsi="Times New Roman" w:cs="Times New Roman"/>
            <w:noProof/>
            <w:sz w:val="24"/>
            <w:szCs w:val="24"/>
          </w:rPr>
          <w:fldChar w:fldCharType="end"/>
        </w:r>
      </w:hyperlink>
    </w:p>
    <w:p w14:paraId="18E91D44" w14:textId="77777777" w:rsidR="00BB7E47" w:rsidRDefault="00191CE8">
      <w:pPr>
        <w:pStyle w:val="10"/>
        <w:tabs>
          <w:tab w:val="right" w:leader="dot" w:pos="8302"/>
        </w:tabs>
        <w:spacing w:after="0" w:line="360" w:lineRule="auto"/>
        <w:jc w:val="center"/>
        <w:rPr>
          <w:rFonts w:ascii="Times New Roman" w:hAnsi="Times New Roman" w:cs="Times New Roman"/>
          <w:noProof/>
          <w:sz w:val="24"/>
          <w:szCs w:val="24"/>
        </w:rPr>
      </w:pPr>
      <w:hyperlink w:anchor="_Toc440289555" w:tooltip="Current Document" w:history="1">
        <w:r w:rsidR="005406F2">
          <w:rPr>
            <w:rFonts w:ascii="Times New Roman" w:hAnsi="Times New Roman" w:cs="Times New Roman"/>
            <w:noProof/>
            <w:sz w:val="24"/>
            <w:szCs w:val="24"/>
          </w:rPr>
          <w:t>二十、其他事项</w:t>
        </w:r>
        <w:r w:rsidR="005406F2">
          <w:rPr>
            <w:rFonts w:ascii="Times New Roman" w:hAnsi="Times New Roman" w:cs="Times New Roman"/>
            <w:noProof/>
            <w:sz w:val="24"/>
            <w:szCs w:val="24"/>
          </w:rPr>
          <w:tab/>
        </w:r>
        <w:r w:rsidR="005406F2">
          <w:rPr>
            <w:rFonts w:ascii="Times New Roman" w:hAnsi="Times New Roman" w:cs="Times New Roman"/>
            <w:noProof/>
            <w:sz w:val="24"/>
            <w:szCs w:val="24"/>
          </w:rPr>
          <w:fldChar w:fldCharType="begin"/>
        </w:r>
        <w:r w:rsidR="005406F2">
          <w:rPr>
            <w:rFonts w:ascii="Times New Roman" w:hAnsi="Times New Roman" w:cs="Times New Roman"/>
            <w:noProof/>
            <w:sz w:val="24"/>
            <w:szCs w:val="24"/>
          </w:rPr>
          <w:instrText xml:space="preserve"> PAGEREF _Toc440289555 \h </w:instrText>
        </w:r>
        <w:r w:rsidR="005406F2">
          <w:rPr>
            <w:rFonts w:ascii="Times New Roman" w:hAnsi="Times New Roman" w:cs="Times New Roman"/>
            <w:noProof/>
            <w:sz w:val="24"/>
            <w:szCs w:val="24"/>
          </w:rPr>
        </w:r>
        <w:r w:rsidR="005406F2">
          <w:rPr>
            <w:rFonts w:ascii="Times New Roman" w:hAnsi="Times New Roman" w:cs="Times New Roman"/>
            <w:noProof/>
            <w:sz w:val="24"/>
            <w:szCs w:val="24"/>
          </w:rPr>
          <w:fldChar w:fldCharType="separate"/>
        </w:r>
        <w:r>
          <w:rPr>
            <w:rFonts w:ascii="Times New Roman" w:hAnsi="Times New Roman" w:cs="Times New Roman"/>
            <w:noProof/>
            <w:sz w:val="24"/>
            <w:szCs w:val="24"/>
          </w:rPr>
          <w:t>51</w:t>
        </w:r>
        <w:r w:rsidR="005406F2">
          <w:rPr>
            <w:rFonts w:ascii="Times New Roman" w:hAnsi="Times New Roman" w:cs="Times New Roman"/>
            <w:noProof/>
            <w:sz w:val="24"/>
            <w:szCs w:val="24"/>
          </w:rPr>
          <w:fldChar w:fldCharType="end"/>
        </w:r>
      </w:hyperlink>
    </w:p>
    <w:p w14:paraId="42146948" w14:textId="77777777" w:rsidR="00BB7E47" w:rsidRDefault="00191CE8">
      <w:pPr>
        <w:pStyle w:val="10"/>
        <w:tabs>
          <w:tab w:val="right" w:leader="dot" w:pos="8302"/>
        </w:tabs>
        <w:spacing w:after="0" w:line="360" w:lineRule="auto"/>
        <w:jc w:val="center"/>
        <w:rPr>
          <w:rFonts w:ascii="Times New Roman" w:hAnsi="Times New Roman" w:cs="Times New Roman"/>
          <w:noProof/>
          <w:sz w:val="24"/>
          <w:szCs w:val="24"/>
        </w:rPr>
      </w:pPr>
      <w:hyperlink w:anchor="_Toc440289557" w:tooltip="Current Document" w:history="1">
        <w:r w:rsidR="005406F2">
          <w:rPr>
            <w:rFonts w:ascii="Times New Roman" w:hAnsi="Times New Roman" w:cs="Times New Roman"/>
            <w:noProof/>
            <w:sz w:val="24"/>
            <w:szCs w:val="24"/>
          </w:rPr>
          <w:t>二十一、托管协议的签订</w:t>
        </w:r>
        <w:r w:rsidR="005406F2">
          <w:rPr>
            <w:rFonts w:ascii="Times New Roman" w:hAnsi="Times New Roman" w:cs="Times New Roman"/>
            <w:noProof/>
            <w:sz w:val="24"/>
            <w:szCs w:val="24"/>
          </w:rPr>
          <w:tab/>
        </w:r>
        <w:r w:rsidR="005406F2">
          <w:rPr>
            <w:rFonts w:ascii="Times New Roman" w:hAnsi="Times New Roman" w:cs="Times New Roman"/>
            <w:noProof/>
            <w:sz w:val="24"/>
            <w:szCs w:val="24"/>
          </w:rPr>
          <w:fldChar w:fldCharType="begin"/>
        </w:r>
        <w:r w:rsidR="005406F2">
          <w:rPr>
            <w:rFonts w:ascii="Times New Roman" w:hAnsi="Times New Roman" w:cs="Times New Roman"/>
            <w:noProof/>
            <w:sz w:val="24"/>
            <w:szCs w:val="24"/>
          </w:rPr>
          <w:instrText xml:space="preserve"> PAGEREF _Toc440289557 \h </w:instrText>
        </w:r>
        <w:r w:rsidR="005406F2">
          <w:rPr>
            <w:rFonts w:ascii="Times New Roman" w:hAnsi="Times New Roman" w:cs="Times New Roman"/>
            <w:noProof/>
            <w:sz w:val="24"/>
            <w:szCs w:val="24"/>
          </w:rPr>
        </w:r>
        <w:r w:rsidR="005406F2">
          <w:rPr>
            <w:rFonts w:ascii="Times New Roman" w:hAnsi="Times New Roman" w:cs="Times New Roman"/>
            <w:noProof/>
            <w:sz w:val="24"/>
            <w:szCs w:val="24"/>
          </w:rPr>
          <w:fldChar w:fldCharType="separate"/>
        </w:r>
        <w:r>
          <w:rPr>
            <w:rFonts w:ascii="Times New Roman" w:hAnsi="Times New Roman" w:cs="Times New Roman"/>
            <w:noProof/>
            <w:sz w:val="24"/>
            <w:szCs w:val="24"/>
          </w:rPr>
          <w:t>52</w:t>
        </w:r>
        <w:r w:rsidR="005406F2">
          <w:rPr>
            <w:rFonts w:ascii="Times New Roman" w:hAnsi="Times New Roman" w:cs="Times New Roman"/>
            <w:noProof/>
            <w:sz w:val="24"/>
            <w:szCs w:val="24"/>
          </w:rPr>
          <w:fldChar w:fldCharType="end"/>
        </w:r>
      </w:hyperlink>
    </w:p>
    <w:p w14:paraId="2417D61C" w14:textId="77777777" w:rsidR="00BB7E47" w:rsidRDefault="005406F2">
      <w:pPr>
        <w:spacing w:line="360" w:lineRule="auto"/>
        <w:jc w:val="center"/>
        <w:rPr>
          <w:rFonts w:ascii="Times New Roman" w:hAnsi="Times New Roman" w:cs="Times New Roman"/>
          <w:sz w:val="24"/>
          <w:szCs w:val="24"/>
        </w:rPr>
      </w:pPr>
      <w:r>
        <w:rPr>
          <w:rFonts w:ascii="Times New Roman" w:hAnsi="Times New Roman" w:cs="Times New Roman"/>
          <w:sz w:val="24"/>
          <w:szCs w:val="24"/>
        </w:rPr>
        <w:fldChar w:fldCharType="end"/>
      </w:r>
    </w:p>
    <w:p w14:paraId="417DB9AD" w14:textId="77777777" w:rsidR="00BB7E47" w:rsidRDefault="00BB7E47">
      <w:pPr>
        <w:spacing w:line="360" w:lineRule="auto"/>
        <w:ind w:firstLine="480"/>
        <w:rPr>
          <w:rFonts w:ascii="Times New Roman" w:hAnsi="Times New Roman" w:cs="Times New Roman"/>
          <w:sz w:val="24"/>
          <w:szCs w:val="24"/>
        </w:rPr>
      </w:pPr>
    </w:p>
    <w:p w14:paraId="0F4902F5" w14:textId="77777777" w:rsidR="00BB7E47" w:rsidRDefault="00BB7E47">
      <w:pPr>
        <w:spacing w:line="360" w:lineRule="auto"/>
        <w:ind w:firstLine="480"/>
        <w:rPr>
          <w:rFonts w:ascii="Times New Roman" w:hAnsi="Times New Roman" w:cs="Times New Roman"/>
          <w:sz w:val="24"/>
          <w:szCs w:val="24"/>
        </w:rPr>
        <w:sectPr w:rsidR="00BB7E47">
          <w:headerReference w:type="default" r:id="rId8"/>
          <w:footerReference w:type="default" r:id="rId9"/>
          <w:headerReference w:type="first" r:id="rId10"/>
          <w:footerReference w:type="first" r:id="rId11"/>
          <w:pgSz w:w="11906" w:h="16838"/>
          <w:pgMar w:top="1440" w:right="1797" w:bottom="1440" w:left="1797" w:header="851" w:footer="992" w:gutter="0"/>
          <w:cols w:space="720"/>
          <w:docGrid w:type="lines" w:linePitch="312"/>
        </w:sectPr>
      </w:pPr>
    </w:p>
    <w:p w14:paraId="7F033410" w14:textId="77777777" w:rsidR="00BB7E47" w:rsidRDefault="00BB7E47">
      <w:pPr>
        <w:spacing w:line="360" w:lineRule="auto"/>
        <w:ind w:firstLine="480"/>
        <w:rPr>
          <w:rFonts w:ascii="Times New Roman" w:hAnsi="Times New Roman" w:cs="Times New Roman"/>
          <w:sz w:val="24"/>
          <w:szCs w:val="24"/>
        </w:rPr>
      </w:pPr>
    </w:p>
    <w:p w14:paraId="38F13975"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鉴于</w:t>
      </w:r>
      <w:proofErr w:type="gramStart"/>
      <w:r>
        <w:rPr>
          <w:rFonts w:ascii="Times New Roman" w:hAnsi="Times New Roman" w:cs="Times New Roman"/>
          <w:sz w:val="24"/>
          <w:szCs w:val="24"/>
        </w:rPr>
        <w:t>鑫元基金</w:t>
      </w:r>
      <w:proofErr w:type="gramEnd"/>
      <w:r>
        <w:rPr>
          <w:rFonts w:ascii="Times New Roman" w:hAnsi="Times New Roman" w:cs="Times New Roman"/>
          <w:sz w:val="24"/>
          <w:szCs w:val="24"/>
        </w:rPr>
        <w:t>管理有限公司系一家依照中国法律合法成立并有效存续的有限责任公司，按照相关法律法规的规定具备担任基金管理人的资格和能力，拟募集发行</w:t>
      </w:r>
      <w:proofErr w:type="gramStart"/>
      <w:r>
        <w:rPr>
          <w:rFonts w:ascii="Times New Roman" w:hAnsi="Times New Roman" w:cs="Times New Roman"/>
          <w:sz w:val="24"/>
          <w:szCs w:val="24"/>
        </w:rPr>
        <w:t>鑫元稳丰利率债</w:t>
      </w:r>
      <w:proofErr w:type="gramEnd"/>
      <w:r>
        <w:rPr>
          <w:rFonts w:ascii="Times New Roman" w:hAnsi="Times New Roman" w:cs="Times New Roman"/>
          <w:sz w:val="24"/>
          <w:szCs w:val="24"/>
        </w:rPr>
        <w:t>债券型证券投资基金；</w:t>
      </w:r>
    </w:p>
    <w:p w14:paraId="193609DC"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鉴于恒丰银行股份有限公司系一家依照中国法律合法成立并有效存续的银行，按照相关法律法规的规定具备担任基金托管人的资格和能力；</w:t>
      </w:r>
    </w:p>
    <w:p w14:paraId="4924F3EB"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鉴于</w:t>
      </w:r>
      <w:proofErr w:type="gramStart"/>
      <w:r>
        <w:rPr>
          <w:rFonts w:ascii="Times New Roman" w:hAnsi="Times New Roman" w:cs="Times New Roman"/>
          <w:sz w:val="24"/>
          <w:szCs w:val="24"/>
        </w:rPr>
        <w:t>鑫元基金</w:t>
      </w:r>
      <w:proofErr w:type="gramEnd"/>
      <w:r>
        <w:rPr>
          <w:rFonts w:ascii="Times New Roman" w:hAnsi="Times New Roman" w:cs="Times New Roman"/>
          <w:sz w:val="24"/>
          <w:szCs w:val="24"/>
        </w:rPr>
        <w:t>管理有限公司拟担任</w:t>
      </w:r>
      <w:proofErr w:type="gramStart"/>
      <w:r>
        <w:rPr>
          <w:rFonts w:ascii="Times New Roman" w:hAnsi="Times New Roman" w:cs="Times New Roman"/>
          <w:sz w:val="24"/>
          <w:szCs w:val="24"/>
        </w:rPr>
        <w:t>鑫元稳丰利率债</w:t>
      </w:r>
      <w:proofErr w:type="gramEnd"/>
      <w:r>
        <w:rPr>
          <w:rFonts w:ascii="Times New Roman" w:hAnsi="Times New Roman" w:cs="Times New Roman"/>
          <w:sz w:val="24"/>
          <w:szCs w:val="24"/>
        </w:rPr>
        <w:t>债券型证券投资基金的基金管理人，恒丰银行股份有限公司拟担任</w:t>
      </w:r>
      <w:proofErr w:type="gramStart"/>
      <w:r>
        <w:rPr>
          <w:rFonts w:ascii="Times New Roman" w:hAnsi="Times New Roman" w:cs="Times New Roman"/>
          <w:sz w:val="24"/>
          <w:szCs w:val="24"/>
        </w:rPr>
        <w:t>鑫元稳丰利率债</w:t>
      </w:r>
      <w:proofErr w:type="gramEnd"/>
      <w:r>
        <w:rPr>
          <w:rFonts w:ascii="Times New Roman" w:hAnsi="Times New Roman" w:cs="Times New Roman"/>
          <w:sz w:val="24"/>
          <w:szCs w:val="24"/>
        </w:rPr>
        <w:t>债券型证券投资基金的基金托管人；</w:t>
      </w:r>
    </w:p>
    <w:p w14:paraId="29AE64A6"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为明确</w:t>
      </w:r>
      <w:proofErr w:type="gramStart"/>
      <w:r>
        <w:rPr>
          <w:rFonts w:ascii="Times New Roman" w:hAnsi="Times New Roman" w:cs="Times New Roman"/>
          <w:sz w:val="24"/>
          <w:szCs w:val="24"/>
        </w:rPr>
        <w:t>鑫元稳丰利率债</w:t>
      </w:r>
      <w:proofErr w:type="gramEnd"/>
      <w:r>
        <w:rPr>
          <w:rFonts w:ascii="Times New Roman" w:hAnsi="Times New Roman" w:cs="Times New Roman"/>
          <w:sz w:val="24"/>
          <w:szCs w:val="24"/>
        </w:rPr>
        <w:t>债券型证券投资基金的基金管理人和基金托管人之间的权利义务关系，特制订本托管协议；</w:t>
      </w:r>
    </w:p>
    <w:p w14:paraId="22580BD3"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除非另有约定，《鑫元稳丰利率债债券型证券投资基金基金合同》</w:t>
      </w:r>
      <w:r>
        <w:rPr>
          <w:rFonts w:ascii="Times New Roman" w:hAnsi="Times New Roman" w:cs="Times New Roman"/>
          <w:sz w:val="24"/>
          <w:szCs w:val="24"/>
        </w:rPr>
        <w:t>(</w:t>
      </w:r>
      <w:r>
        <w:rPr>
          <w:rFonts w:ascii="Times New Roman" w:hAnsi="Times New Roman" w:cs="Times New Roman"/>
          <w:sz w:val="24"/>
          <w:szCs w:val="24"/>
        </w:rPr>
        <w:t>以下简称</w:t>
      </w:r>
      <w:r>
        <w:rPr>
          <w:rFonts w:ascii="Times New Roman" w:hAnsi="Times New Roman" w:cs="Times New Roman"/>
          <w:sz w:val="24"/>
          <w:szCs w:val="24"/>
        </w:rPr>
        <w:t>“</w:t>
      </w:r>
      <w:r>
        <w:rPr>
          <w:rFonts w:ascii="Times New Roman" w:hAnsi="Times New Roman" w:cs="Times New Roman"/>
          <w:sz w:val="24"/>
          <w:szCs w:val="24"/>
        </w:rPr>
        <w:t>基金合同</w:t>
      </w:r>
      <w:r>
        <w:rPr>
          <w:rFonts w:ascii="Times New Roman" w:hAnsi="Times New Roman" w:cs="Times New Roman"/>
          <w:sz w:val="24"/>
          <w:szCs w:val="24"/>
        </w:rPr>
        <w:t>”)</w:t>
      </w:r>
      <w:r>
        <w:rPr>
          <w:rFonts w:ascii="Times New Roman" w:hAnsi="Times New Roman" w:cs="Times New Roman"/>
          <w:sz w:val="24"/>
          <w:szCs w:val="24"/>
        </w:rPr>
        <w:t>中定义的术语在用于本托管协议时应具有相同的含义；若有抵触应以基金合同为准，并依其条款解释。</w:t>
      </w:r>
    </w:p>
    <w:p w14:paraId="26CA5720"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若本基金实施</w:t>
      </w:r>
      <w:proofErr w:type="gramStart"/>
      <w:r>
        <w:rPr>
          <w:rFonts w:ascii="Times New Roman" w:hAnsi="Times New Roman" w:cs="Times New Roman"/>
          <w:sz w:val="24"/>
          <w:szCs w:val="24"/>
        </w:rPr>
        <w:t>侧袋机制</w:t>
      </w:r>
      <w:proofErr w:type="gramEnd"/>
      <w:r>
        <w:rPr>
          <w:rFonts w:ascii="Times New Roman" w:hAnsi="Times New Roman" w:cs="Times New Roman"/>
          <w:sz w:val="24"/>
          <w:szCs w:val="24"/>
        </w:rPr>
        <w:t>的，</w:t>
      </w:r>
      <w:proofErr w:type="gramStart"/>
      <w:r>
        <w:rPr>
          <w:rFonts w:ascii="Times New Roman" w:hAnsi="Times New Roman" w:cs="Times New Roman"/>
          <w:sz w:val="24"/>
          <w:szCs w:val="24"/>
        </w:rPr>
        <w:t>侧袋机制</w:t>
      </w:r>
      <w:proofErr w:type="gramEnd"/>
      <w:r>
        <w:rPr>
          <w:rFonts w:ascii="Times New Roman" w:hAnsi="Times New Roman" w:cs="Times New Roman"/>
          <w:sz w:val="24"/>
          <w:szCs w:val="24"/>
        </w:rPr>
        <w:t>实施期间的相关安排</w:t>
      </w:r>
      <w:proofErr w:type="gramStart"/>
      <w:r>
        <w:rPr>
          <w:rFonts w:ascii="Times New Roman" w:hAnsi="Times New Roman" w:cs="Times New Roman"/>
          <w:sz w:val="24"/>
          <w:szCs w:val="24"/>
        </w:rPr>
        <w:t>见基金</w:t>
      </w:r>
      <w:proofErr w:type="gramEnd"/>
      <w:r>
        <w:rPr>
          <w:rFonts w:ascii="Times New Roman" w:hAnsi="Times New Roman" w:cs="Times New Roman"/>
          <w:sz w:val="24"/>
          <w:szCs w:val="24"/>
        </w:rPr>
        <w:t>合同和招募说明书的规定。</w:t>
      </w:r>
    </w:p>
    <w:p w14:paraId="3B7D2651" w14:textId="77777777" w:rsidR="00BB7E47" w:rsidRDefault="00BB7E47">
      <w:pPr>
        <w:spacing w:line="360" w:lineRule="auto"/>
        <w:ind w:firstLine="480"/>
        <w:rPr>
          <w:rFonts w:ascii="Times New Roman" w:hAnsi="Times New Roman" w:cs="Times New Roman"/>
          <w:sz w:val="24"/>
          <w:szCs w:val="24"/>
        </w:rPr>
      </w:pPr>
    </w:p>
    <w:p w14:paraId="4B33B409" w14:textId="77777777" w:rsidR="00BB7E47" w:rsidRDefault="005406F2">
      <w:pPr>
        <w:spacing w:afterLines="100" w:after="312" w:line="360" w:lineRule="auto"/>
        <w:jc w:val="center"/>
        <w:outlineLvl w:val="0"/>
        <w:rPr>
          <w:rFonts w:ascii="Times New Roman" w:hAnsi="Times New Roman" w:cs="Times New Roman"/>
        </w:rPr>
      </w:pPr>
      <w:r>
        <w:rPr>
          <w:rFonts w:ascii="Times New Roman" w:hAnsi="Times New Roman" w:cs="Times New Roman"/>
          <w:sz w:val="24"/>
          <w:szCs w:val="24"/>
        </w:rPr>
        <w:br w:type="page"/>
      </w:r>
      <w:bookmarkStart w:id="1" w:name="_Toc440289529"/>
      <w:r>
        <w:rPr>
          <w:rFonts w:ascii="Times New Roman" w:hAnsi="Times New Roman" w:cs="Times New Roman"/>
          <w:b/>
          <w:sz w:val="30"/>
          <w:szCs w:val="30"/>
        </w:rPr>
        <w:lastRenderedPageBreak/>
        <w:t>一、基金托管协议当事人</w:t>
      </w:r>
      <w:bookmarkEnd w:id="1"/>
    </w:p>
    <w:p w14:paraId="198EA978" w14:textId="77777777" w:rsidR="00BB7E47" w:rsidRDefault="005406F2">
      <w:pPr>
        <w:spacing w:line="360" w:lineRule="auto"/>
        <w:ind w:firstLine="480"/>
        <w:rPr>
          <w:rFonts w:ascii="Times New Roman" w:hAnsi="Times New Roman" w:cs="Times New Roman"/>
          <w:sz w:val="24"/>
          <w:szCs w:val="24"/>
          <w:highlight w:val="yellow"/>
        </w:rPr>
      </w:pPr>
      <w:r>
        <w:rPr>
          <w:rFonts w:ascii="Times New Roman" w:hAnsi="Times New Roman" w:cs="Times New Roman"/>
          <w:sz w:val="24"/>
          <w:szCs w:val="24"/>
        </w:rPr>
        <w:t>（一）基金管理人</w:t>
      </w:r>
    </w:p>
    <w:p w14:paraId="11081F29"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名称：</w:t>
      </w:r>
      <w:proofErr w:type="gramStart"/>
      <w:r>
        <w:rPr>
          <w:rFonts w:ascii="Times New Roman" w:hAnsi="Times New Roman" w:cs="Times New Roman"/>
          <w:sz w:val="24"/>
          <w:szCs w:val="24"/>
        </w:rPr>
        <w:t>鑫元基金</w:t>
      </w:r>
      <w:proofErr w:type="gramEnd"/>
      <w:r>
        <w:rPr>
          <w:rFonts w:ascii="Times New Roman" w:hAnsi="Times New Roman" w:cs="Times New Roman"/>
          <w:sz w:val="24"/>
          <w:szCs w:val="24"/>
        </w:rPr>
        <w:t>管理有限公司</w:t>
      </w:r>
    </w:p>
    <w:p w14:paraId="7FA03511"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住所：上海市静安区中山北路</w:t>
      </w:r>
      <w:r>
        <w:rPr>
          <w:rFonts w:ascii="Times New Roman" w:hAnsi="Times New Roman" w:cs="Times New Roman"/>
          <w:sz w:val="24"/>
          <w:szCs w:val="24"/>
        </w:rPr>
        <w:t>909</w:t>
      </w:r>
      <w:r>
        <w:rPr>
          <w:rFonts w:ascii="Times New Roman" w:hAnsi="Times New Roman" w:cs="Times New Roman"/>
          <w:sz w:val="24"/>
          <w:szCs w:val="24"/>
        </w:rPr>
        <w:t>号</w:t>
      </w:r>
      <w:r>
        <w:rPr>
          <w:rFonts w:ascii="Times New Roman" w:hAnsi="Times New Roman" w:cs="Times New Roman"/>
          <w:sz w:val="24"/>
          <w:szCs w:val="24"/>
        </w:rPr>
        <w:t>12</w:t>
      </w:r>
      <w:r>
        <w:rPr>
          <w:rFonts w:ascii="Times New Roman" w:hAnsi="Times New Roman" w:cs="Times New Roman"/>
          <w:sz w:val="24"/>
          <w:szCs w:val="24"/>
        </w:rPr>
        <w:t>层</w:t>
      </w:r>
    </w:p>
    <w:p w14:paraId="4020D0D3" w14:textId="04410BB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法定代表人：龙艺</w:t>
      </w:r>
    </w:p>
    <w:p w14:paraId="45F80E09"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成立日期：</w:t>
      </w:r>
      <w:r>
        <w:rPr>
          <w:rFonts w:ascii="Times New Roman" w:hAnsi="Times New Roman" w:cs="Times New Roman"/>
          <w:sz w:val="24"/>
          <w:szCs w:val="24"/>
        </w:rPr>
        <w:t xml:space="preserve"> 2013</w:t>
      </w:r>
      <w:r>
        <w:rPr>
          <w:rFonts w:ascii="Times New Roman" w:hAnsi="Times New Roman" w:cs="Times New Roman"/>
          <w:sz w:val="24"/>
          <w:szCs w:val="24"/>
        </w:rPr>
        <w:t>年</w:t>
      </w:r>
      <w:r>
        <w:rPr>
          <w:rFonts w:ascii="Times New Roman" w:hAnsi="Times New Roman" w:cs="Times New Roman"/>
          <w:sz w:val="24"/>
          <w:szCs w:val="24"/>
        </w:rPr>
        <w:t>8</w:t>
      </w:r>
      <w:r>
        <w:rPr>
          <w:rFonts w:ascii="Times New Roman" w:hAnsi="Times New Roman" w:cs="Times New Roman"/>
          <w:sz w:val="24"/>
          <w:szCs w:val="24"/>
        </w:rPr>
        <w:t>月</w:t>
      </w:r>
      <w:r>
        <w:rPr>
          <w:rFonts w:ascii="Times New Roman" w:hAnsi="Times New Roman" w:cs="Times New Roman"/>
          <w:sz w:val="24"/>
          <w:szCs w:val="24"/>
        </w:rPr>
        <w:t>29</w:t>
      </w:r>
      <w:r>
        <w:rPr>
          <w:rFonts w:ascii="Times New Roman" w:hAnsi="Times New Roman" w:cs="Times New Roman"/>
          <w:sz w:val="24"/>
          <w:szCs w:val="24"/>
        </w:rPr>
        <w:t>日</w:t>
      </w:r>
    </w:p>
    <w:p w14:paraId="583F51E0"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批准设立机关及批准设立文号：中国证券监督管理委员会证监许可［</w:t>
      </w:r>
      <w:r>
        <w:rPr>
          <w:rFonts w:ascii="Times New Roman" w:hAnsi="Times New Roman" w:cs="Times New Roman"/>
          <w:sz w:val="24"/>
          <w:szCs w:val="24"/>
        </w:rPr>
        <w:t>2013</w:t>
      </w:r>
      <w:r>
        <w:rPr>
          <w:rFonts w:ascii="Times New Roman" w:hAnsi="Times New Roman" w:cs="Times New Roman"/>
          <w:sz w:val="24"/>
          <w:szCs w:val="24"/>
        </w:rPr>
        <w:t>］</w:t>
      </w:r>
      <w:r>
        <w:rPr>
          <w:rFonts w:ascii="Times New Roman" w:hAnsi="Times New Roman" w:cs="Times New Roman"/>
          <w:sz w:val="24"/>
          <w:szCs w:val="24"/>
        </w:rPr>
        <w:t>1115</w:t>
      </w:r>
      <w:r>
        <w:rPr>
          <w:rFonts w:ascii="Times New Roman" w:hAnsi="Times New Roman" w:cs="Times New Roman"/>
          <w:sz w:val="24"/>
          <w:szCs w:val="24"/>
        </w:rPr>
        <w:t>号</w:t>
      </w:r>
    </w:p>
    <w:p w14:paraId="1034D9B7"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组织形式：有限责任公司</w:t>
      </w:r>
    </w:p>
    <w:p w14:paraId="56910511"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注册资本：人民币</w:t>
      </w:r>
      <w:r>
        <w:rPr>
          <w:rFonts w:ascii="Times New Roman" w:hAnsi="Times New Roman" w:cs="Times New Roman"/>
          <w:sz w:val="24"/>
          <w:szCs w:val="24"/>
        </w:rPr>
        <w:t>17</w:t>
      </w:r>
      <w:r>
        <w:rPr>
          <w:rFonts w:ascii="Times New Roman" w:hAnsi="Times New Roman" w:cs="Times New Roman"/>
          <w:sz w:val="24"/>
          <w:szCs w:val="24"/>
        </w:rPr>
        <w:t>亿元</w:t>
      </w:r>
    </w:p>
    <w:p w14:paraId="147C30E0"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存续期间：持续经营</w:t>
      </w:r>
    </w:p>
    <w:p w14:paraId="7B6BB0BA" w14:textId="77777777" w:rsidR="00BB7E47" w:rsidRDefault="00BB7E47">
      <w:pPr>
        <w:spacing w:line="360" w:lineRule="auto"/>
        <w:ind w:firstLine="480"/>
        <w:rPr>
          <w:rFonts w:ascii="Times New Roman" w:hAnsi="Times New Roman" w:cs="Times New Roman"/>
          <w:sz w:val="24"/>
          <w:szCs w:val="24"/>
        </w:rPr>
      </w:pPr>
    </w:p>
    <w:p w14:paraId="6D67C7FA"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（二）基金托管人</w:t>
      </w:r>
    </w:p>
    <w:p w14:paraId="416FBE20"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名称：恒丰银行股份有限公司</w:t>
      </w:r>
    </w:p>
    <w:p w14:paraId="76DDB8A6"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住所：</w:t>
      </w:r>
      <w:r>
        <w:rPr>
          <w:rFonts w:ascii="Times New Roman" w:hAnsi="Times New Roman" w:cs="Times New Roman" w:hint="eastAsia"/>
          <w:sz w:val="24"/>
          <w:szCs w:val="24"/>
          <w:lang w:eastAsia="zh-Hans"/>
        </w:rPr>
        <w:t>山东省</w:t>
      </w:r>
      <w:r>
        <w:rPr>
          <w:rFonts w:ascii="Times New Roman" w:hAnsi="Times New Roman" w:cs="Times New Roman"/>
          <w:sz w:val="24"/>
          <w:szCs w:val="24"/>
        </w:rPr>
        <w:t>济南市历下区泺源大街</w:t>
      </w:r>
      <w:r>
        <w:rPr>
          <w:rFonts w:ascii="Times New Roman" w:hAnsi="Times New Roman" w:cs="Times New Roman"/>
          <w:sz w:val="24"/>
          <w:szCs w:val="24"/>
        </w:rPr>
        <w:t>8</w:t>
      </w:r>
      <w:r>
        <w:rPr>
          <w:rFonts w:ascii="Times New Roman" w:hAnsi="Times New Roman" w:cs="Times New Roman"/>
          <w:sz w:val="24"/>
          <w:szCs w:val="24"/>
        </w:rPr>
        <w:t>号</w:t>
      </w:r>
    </w:p>
    <w:p w14:paraId="3301AF24" w14:textId="45DC2CDA"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法定代表人：</w:t>
      </w:r>
      <w:r w:rsidR="009251A0" w:rsidRPr="009251A0">
        <w:rPr>
          <w:rFonts w:ascii="Times New Roman" w:hAnsi="Times New Roman" w:cs="Times New Roman" w:hint="eastAsia"/>
          <w:sz w:val="24"/>
          <w:szCs w:val="24"/>
        </w:rPr>
        <w:t>辛树人</w:t>
      </w:r>
    </w:p>
    <w:p w14:paraId="62A8D536"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成立日期：</w:t>
      </w:r>
      <w:r>
        <w:rPr>
          <w:rFonts w:ascii="Times New Roman" w:hAnsi="Times New Roman" w:cs="Times New Roman"/>
          <w:sz w:val="24"/>
          <w:szCs w:val="24"/>
        </w:rPr>
        <w:t>1987</w:t>
      </w:r>
      <w:r>
        <w:rPr>
          <w:rFonts w:ascii="Times New Roman" w:hAnsi="Times New Roman" w:cs="Times New Roman"/>
          <w:sz w:val="24"/>
          <w:szCs w:val="24"/>
        </w:rPr>
        <w:t>年</w:t>
      </w:r>
      <w:r>
        <w:rPr>
          <w:rFonts w:ascii="Times New Roman" w:hAnsi="Times New Roman" w:cs="Times New Roman"/>
          <w:sz w:val="24"/>
          <w:szCs w:val="24"/>
        </w:rPr>
        <w:t>11</w:t>
      </w:r>
      <w:r>
        <w:rPr>
          <w:rFonts w:ascii="Times New Roman" w:hAnsi="Times New Roman" w:cs="Times New Roman"/>
          <w:sz w:val="24"/>
          <w:szCs w:val="24"/>
        </w:rPr>
        <w:t>月</w:t>
      </w:r>
      <w:r>
        <w:rPr>
          <w:rFonts w:ascii="Times New Roman" w:hAnsi="Times New Roman" w:cs="Times New Roman"/>
          <w:sz w:val="24"/>
          <w:szCs w:val="24"/>
        </w:rPr>
        <w:t>23</w:t>
      </w:r>
      <w:r>
        <w:rPr>
          <w:rFonts w:ascii="Times New Roman" w:hAnsi="Times New Roman" w:cs="Times New Roman"/>
          <w:sz w:val="24"/>
          <w:szCs w:val="24"/>
        </w:rPr>
        <w:t>日</w:t>
      </w:r>
    </w:p>
    <w:p w14:paraId="0208705B"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基金托管资格批文及文号：中国证监会证监许可［</w:t>
      </w:r>
      <w:r>
        <w:rPr>
          <w:rFonts w:ascii="Times New Roman" w:hAnsi="Times New Roman" w:cs="Times New Roman"/>
          <w:sz w:val="24"/>
          <w:szCs w:val="24"/>
        </w:rPr>
        <w:t>2014</w:t>
      </w:r>
      <w:r>
        <w:rPr>
          <w:rFonts w:ascii="Times New Roman" w:hAnsi="Times New Roman" w:cs="Times New Roman"/>
          <w:sz w:val="24"/>
          <w:szCs w:val="24"/>
        </w:rPr>
        <w:t>］</w:t>
      </w:r>
      <w:r>
        <w:rPr>
          <w:rFonts w:ascii="Times New Roman" w:hAnsi="Times New Roman" w:cs="Times New Roman"/>
          <w:sz w:val="24"/>
          <w:szCs w:val="24"/>
        </w:rPr>
        <w:t>204</w:t>
      </w:r>
      <w:r>
        <w:rPr>
          <w:rFonts w:ascii="Times New Roman" w:hAnsi="Times New Roman" w:cs="Times New Roman"/>
          <w:sz w:val="24"/>
          <w:szCs w:val="24"/>
        </w:rPr>
        <w:t>号</w:t>
      </w:r>
    </w:p>
    <w:p w14:paraId="18CB1094"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组织形式：股份有限公司</w:t>
      </w:r>
    </w:p>
    <w:p w14:paraId="4147B61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注册资本：</w:t>
      </w:r>
      <w:r>
        <w:rPr>
          <w:rFonts w:ascii="Times New Roman" w:hAnsi="Times New Roman" w:cs="Times New Roman"/>
          <w:sz w:val="24"/>
          <w:szCs w:val="24"/>
        </w:rPr>
        <w:t>1112.09629836</w:t>
      </w:r>
      <w:r>
        <w:rPr>
          <w:rFonts w:ascii="Times New Roman" w:hAnsi="Times New Roman" w:cs="Times New Roman"/>
          <w:sz w:val="24"/>
          <w:szCs w:val="24"/>
        </w:rPr>
        <w:t>亿元人民币</w:t>
      </w:r>
    </w:p>
    <w:p w14:paraId="31F77B80" w14:textId="75DCAA1C"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存续期间：持续经营</w:t>
      </w:r>
    </w:p>
    <w:p w14:paraId="7E49B17E" w14:textId="77777777" w:rsidR="00BB7E47" w:rsidRDefault="005406F2">
      <w:pPr>
        <w:spacing w:afterLines="100" w:after="312" w:line="360" w:lineRule="auto"/>
        <w:jc w:val="center"/>
        <w:outlineLvl w:val="0"/>
        <w:rPr>
          <w:rFonts w:ascii="Times New Roman" w:hAnsi="Times New Roman" w:cs="Times New Roman"/>
        </w:rPr>
      </w:pPr>
      <w:r>
        <w:rPr>
          <w:rFonts w:ascii="Times New Roman" w:hAnsi="Times New Roman" w:cs="Times New Roman"/>
          <w:sz w:val="24"/>
          <w:szCs w:val="24"/>
        </w:rPr>
        <w:br w:type="page"/>
      </w:r>
      <w:bookmarkStart w:id="2" w:name="_Toc440289530"/>
      <w:r>
        <w:rPr>
          <w:rFonts w:ascii="Times New Roman" w:hAnsi="Times New Roman" w:cs="Times New Roman"/>
          <w:b/>
          <w:sz w:val="30"/>
          <w:szCs w:val="30"/>
        </w:rPr>
        <w:lastRenderedPageBreak/>
        <w:t>二、基金托管协议的依据、目的、原则和解释</w:t>
      </w:r>
      <w:bookmarkEnd w:id="2"/>
    </w:p>
    <w:p w14:paraId="6C2B205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（一）订立托管协议的依据</w:t>
      </w:r>
    </w:p>
    <w:p w14:paraId="4D8577B6" w14:textId="16EF0810"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本协议依据《中华人民共和国民法典》、《中华人民共和国证券投资基金法》</w:t>
      </w:r>
      <w:r>
        <w:rPr>
          <w:rFonts w:ascii="Times New Roman" w:hAnsi="Times New Roman" w:cs="Times New Roman"/>
          <w:sz w:val="24"/>
          <w:szCs w:val="24"/>
        </w:rPr>
        <w:t>(</w:t>
      </w:r>
      <w:r>
        <w:rPr>
          <w:rFonts w:ascii="Times New Roman" w:hAnsi="Times New Roman" w:cs="Times New Roman"/>
          <w:sz w:val="24"/>
          <w:szCs w:val="24"/>
        </w:rPr>
        <w:t>以下简称</w:t>
      </w:r>
      <w:r>
        <w:rPr>
          <w:rFonts w:ascii="Times New Roman" w:hAnsi="Times New Roman" w:cs="Times New Roman"/>
          <w:sz w:val="24"/>
          <w:szCs w:val="24"/>
        </w:rPr>
        <w:t>“</w:t>
      </w:r>
      <w:r>
        <w:rPr>
          <w:rFonts w:ascii="Times New Roman" w:hAnsi="Times New Roman" w:cs="Times New Roman"/>
          <w:sz w:val="24"/>
          <w:szCs w:val="24"/>
        </w:rPr>
        <w:t>《基金法》</w:t>
      </w:r>
      <w:r>
        <w:rPr>
          <w:rFonts w:ascii="Times New Roman" w:hAnsi="Times New Roman" w:cs="Times New Roman"/>
          <w:sz w:val="24"/>
          <w:szCs w:val="24"/>
        </w:rPr>
        <w:t xml:space="preserve">”) </w:t>
      </w:r>
      <w:r>
        <w:rPr>
          <w:rFonts w:ascii="Times New Roman" w:hAnsi="Times New Roman" w:cs="Times New Roman"/>
          <w:sz w:val="24"/>
          <w:szCs w:val="24"/>
        </w:rPr>
        <w:t>《公开募集证券投资基金运作管理办法》（以下称</w:t>
      </w:r>
      <w:r>
        <w:rPr>
          <w:rFonts w:ascii="Times New Roman" w:hAnsi="Times New Roman" w:cs="Times New Roman"/>
          <w:sz w:val="24"/>
          <w:szCs w:val="24"/>
        </w:rPr>
        <w:t>“</w:t>
      </w:r>
      <w:r>
        <w:rPr>
          <w:rFonts w:ascii="Times New Roman" w:hAnsi="Times New Roman" w:cs="Times New Roman"/>
          <w:sz w:val="24"/>
          <w:szCs w:val="24"/>
        </w:rPr>
        <w:t>《运作办法》</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color w:val="000000"/>
          <w:sz w:val="24"/>
          <w:szCs w:val="24"/>
        </w:rPr>
        <w:t>公开募集</w:t>
      </w:r>
      <w:r>
        <w:rPr>
          <w:rFonts w:ascii="Times New Roman" w:hAnsi="Times New Roman" w:cs="Times New Roman"/>
          <w:sz w:val="24"/>
          <w:szCs w:val="24"/>
        </w:rPr>
        <w:t>证券投资基金信息披露管理办法》（以下称</w:t>
      </w:r>
      <w:r>
        <w:rPr>
          <w:rFonts w:ascii="Times New Roman" w:hAnsi="Times New Roman" w:cs="Times New Roman"/>
          <w:sz w:val="24"/>
          <w:szCs w:val="24"/>
        </w:rPr>
        <w:t>“</w:t>
      </w:r>
      <w:r>
        <w:rPr>
          <w:rFonts w:ascii="Times New Roman" w:hAnsi="Times New Roman" w:cs="Times New Roman"/>
          <w:sz w:val="24"/>
          <w:szCs w:val="24"/>
        </w:rPr>
        <w:t>《信息披露办法》</w:t>
      </w:r>
      <w:r>
        <w:rPr>
          <w:rFonts w:ascii="Times New Roman" w:hAnsi="Times New Roman" w:cs="Times New Roman"/>
          <w:sz w:val="24"/>
          <w:szCs w:val="24"/>
        </w:rPr>
        <w:t>”</w:t>
      </w:r>
      <w:r>
        <w:rPr>
          <w:rFonts w:ascii="Times New Roman" w:hAnsi="Times New Roman" w:cs="Times New Roman"/>
          <w:sz w:val="24"/>
          <w:szCs w:val="24"/>
        </w:rPr>
        <w:t>）等有关法律法规、《鑫元稳丰利率债债券型证券投资基金基金合同》及其他有关规定制订。</w:t>
      </w:r>
    </w:p>
    <w:p w14:paraId="144E5890"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（二）订立托管协议的目的</w:t>
      </w:r>
    </w:p>
    <w:p w14:paraId="1CA83ED1"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D7E9BBC"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（三）订立托管协议的原则</w:t>
      </w:r>
    </w:p>
    <w:p w14:paraId="7D2963E5"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基金管理人和基金托管人本着平等自愿、诚实信用、充分保护基金份额持有人合法权益的原则，经协商一致，签订本协议。</w:t>
      </w:r>
    </w:p>
    <w:p w14:paraId="37EA37E9"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（四）解释</w:t>
      </w:r>
    </w:p>
    <w:p w14:paraId="2F6FB8E4"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除非文义另有所指，本托管协议的所有术语与基金合同的相应术语具有相同含义。</w:t>
      </w:r>
    </w:p>
    <w:p w14:paraId="6C14D519" w14:textId="77777777" w:rsidR="00BB7E47" w:rsidRDefault="005406F2">
      <w:pPr>
        <w:spacing w:afterLines="100" w:after="312" w:line="360" w:lineRule="auto"/>
        <w:jc w:val="center"/>
        <w:outlineLvl w:val="0"/>
        <w:rPr>
          <w:rFonts w:ascii="Times New Roman" w:hAnsi="Times New Roman" w:cs="Times New Roman"/>
        </w:rPr>
      </w:pPr>
      <w:r>
        <w:rPr>
          <w:rFonts w:ascii="Times New Roman" w:hAnsi="Times New Roman" w:cs="Times New Roman"/>
          <w:sz w:val="24"/>
          <w:szCs w:val="24"/>
        </w:rPr>
        <w:br w:type="page"/>
      </w:r>
      <w:bookmarkStart w:id="3" w:name="_Toc440289531"/>
      <w:r>
        <w:rPr>
          <w:rFonts w:ascii="Times New Roman" w:hAnsi="Times New Roman" w:cs="Times New Roman"/>
          <w:b/>
          <w:sz w:val="30"/>
          <w:szCs w:val="30"/>
        </w:rPr>
        <w:lastRenderedPageBreak/>
        <w:t>三、基金托管人对基金管理人的业务监督和核查</w:t>
      </w:r>
      <w:bookmarkEnd w:id="3"/>
    </w:p>
    <w:p w14:paraId="76400ADA"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szCs w:val="24"/>
        </w:rPr>
        <w:t>（一）基金托管人</w:t>
      </w:r>
      <w:r>
        <w:rPr>
          <w:rFonts w:ascii="Times New Roman" w:hAnsi="Times New Roman" w:cs="Times New Roman"/>
          <w:sz w:val="24"/>
        </w:rPr>
        <w:t>根据有关法律法规的规定及基金合同的约定，对基金投资范围、投资对象进行监督。</w:t>
      </w:r>
    </w:p>
    <w:p w14:paraId="11ED4742" w14:textId="745742F8" w:rsidR="00BB7E47" w:rsidRDefault="005406F2">
      <w:pPr>
        <w:spacing w:line="360" w:lineRule="auto"/>
        <w:ind w:firstLine="480"/>
        <w:rPr>
          <w:rFonts w:ascii="Times New Roman" w:hAnsi="Times New Roman" w:cs="Times New Roman"/>
          <w:sz w:val="24"/>
        </w:rPr>
      </w:pPr>
      <w:r>
        <w:rPr>
          <w:rFonts w:ascii="Times New Roman" w:hAnsi="Times New Roman" w:cs="Times New Roman" w:hint="eastAsia"/>
          <w:sz w:val="24"/>
        </w:rPr>
        <w:t>本基金的投资范围为具有良好流动性的金融工具，包括利率债（包括国债、政策性金融债、央行票据）、债券回购、银行</w:t>
      </w:r>
      <w:r w:rsidR="00FC4342">
        <w:rPr>
          <w:rFonts w:ascii="Times New Roman" w:hAnsi="Times New Roman" w:cs="Times New Roman" w:hint="eastAsia"/>
          <w:sz w:val="24"/>
        </w:rPr>
        <w:t>活期</w:t>
      </w:r>
      <w:r>
        <w:rPr>
          <w:rFonts w:ascii="Times New Roman" w:hAnsi="Times New Roman" w:cs="Times New Roman" w:hint="eastAsia"/>
          <w:sz w:val="24"/>
        </w:rPr>
        <w:t>存款</w:t>
      </w:r>
      <w:r w:rsidR="00FC4342" w:rsidRPr="00FC4342">
        <w:rPr>
          <w:rFonts w:ascii="Times New Roman" w:hAnsi="Times New Roman" w:cs="Times New Roman" w:hint="eastAsia"/>
          <w:sz w:val="24"/>
        </w:rPr>
        <w:t>以及法律法规或中国证监会允许基金投资的其他金融工具（但须符合中国证监会相关规定）</w:t>
      </w:r>
      <w:r>
        <w:rPr>
          <w:rFonts w:ascii="Times New Roman" w:hAnsi="Times New Roman" w:cs="Times New Roman" w:hint="eastAsia"/>
          <w:sz w:val="24"/>
        </w:rPr>
        <w:t>。</w:t>
      </w:r>
    </w:p>
    <w:p w14:paraId="56D35E68"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hint="eastAsia"/>
          <w:sz w:val="24"/>
        </w:rPr>
        <w:t>本基金不投资于股票、可转换债券、可交换债券、信用债和国债期货。</w:t>
      </w:r>
    </w:p>
    <w:p w14:paraId="05D994CD"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hint="eastAsia"/>
          <w:sz w:val="24"/>
        </w:rPr>
        <w:t>如法律法规或监管机构以后允许基金投资其他品种，基金管理人在履行适当程序后，可以将其纳入投资范围。</w:t>
      </w:r>
    </w:p>
    <w:p w14:paraId="072E27DC"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hint="eastAsia"/>
          <w:sz w:val="24"/>
        </w:rPr>
        <w:t>基金的投资组合比例为：本基金投资于债券资产的比例不低于基金资产的</w:t>
      </w:r>
      <w:r>
        <w:rPr>
          <w:rFonts w:ascii="Times New Roman" w:hAnsi="Times New Roman" w:cs="Times New Roman" w:hint="eastAsia"/>
          <w:sz w:val="24"/>
        </w:rPr>
        <w:t>80%</w:t>
      </w:r>
      <w:r>
        <w:rPr>
          <w:rFonts w:ascii="Times New Roman" w:hAnsi="Times New Roman" w:cs="Times New Roman" w:hint="eastAsia"/>
          <w:sz w:val="24"/>
        </w:rPr>
        <w:t>，其中投资于利率</w:t>
      </w:r>
      <w:proofErr w:type="gramStart"/>
      <w:r>
        <w:rPr>
          <w:rFonts w:ascii="Times New Roman" w:hAnsi="Times New Roman" w:cs="Times New Roman" w:hint="eastAsia"/>
          <w:sz w:val="24"/>
        </w:rPr>
        <w:t>债资产</w:t>
      </w:r>
      <w:proofErr w:type="gramEnd"/>
      <w:r>
        <w:rPr>
          <w:rFonts w:ascii="Times New Roman" w:hAnsi="Times New Roman" w:cs="Times New Roman" w:hint="eastAsia"/>
          <w:sz w:val="24"/>
        </w:rPr>
        <w:t>的比例不低于非现金基金资产的</w:t>
      </w:r>
      <w:r>
        <w:rPr>
          <w:rFonts w:ascii="Times New Roman" w:hAnsi="Times New Roman" w:cs="Times New Roman" w:hint="eastAsia"/>
          <w:sz w:val="24"/>
        </w:rPr>
        <w:t>80%</w:t>
      </w:r>
      <w:r>
        <w:rPr>
          <w:rFonts w:ascii="Times New Roman" w:hAnsi="Times New Roman" w:cs="Times New Roman" w:hint="eastAsia"/>
          <w:sz w:val="24"/>
        </w:rPr>
        <w:t>；本基金持有现金或者到期日在一年以内的政府债券不低于基金资产净值的</w:t>
      </w:r>
      <w:r>
        <w:rPr>
          <w:rFonts w:ascii="Times New Roman" w:hAnsi="Times New Roman" w:cs="Times New Roman" w:hint="eastAsia"/>
          <w:sz w:val="24"/>
        </w:rPr>
        <w:t>5%</w:t>
      </w:r>
      <w:r>
        <w:rPr>
          <w:rFonts w:ascii="Times New Roman" w:hAnsi="Times New Roman" w:cs="Times New Roman" w:hint="eastAsia"/>
          <w:sz w:val="24"/>
        </w:rPr>
        <w:t>，其中现金不包括结算备付金、存出保证金和应收申购款等。</w:t>
      </w:r>
    </w:p>
    <w:p w14:paraId="2D5A9313" w14:textId="7D28AC76" w:rsidR="00BB7E47" w:rsidRDefault="005406F2">
      <w:pPr>
        <w:spacing w:line="360" w:lineRule="auto"/>
        <w:ind w:firstLine="480"/>
        <w:rPr>
          <w:rFonts w:ascii="Times New Roman" w:hAnsi="Times New Roman" w:cs="Times New Roman"/>
          <w:sz w:val="24"/>
        </w:rPr>
      </w:pPr>
      <w:r>
        <w:rPr>
          <w:rFonts w:ascii="Times New Roman" w:hAnsi="Times New Roman" w:cs="Times New Roman" w:hint="eastAsia"/>
          <w:sz w:val="24"/>
        </w:rPr>
        <w:t>如法律法规或中国证监会变更投资品种的投资比例限制，基金管理人在履行适当程序后，可以调整上述投资品种的投资比例。</w:t>
      </w:r>
    </w:p>
    <w:p w14:paraId="06C9164C"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szCs w:val="24"/>
        </w:rPr>
        <w:t>（二）基金托管</w:t>
      </w:r>
      <w:r>
        <w:rPr>
          <w:rFonts w:ascii="Times New Roman" w:hAnsi="Times New Roman" w:cs="Times New Roman"/>
          <w:sz w:val="24"/>
        </w:rPr>
        <w:t>人根据有关法律法规的规定及基金合同的约定，对基金投资、融资比例进行监督。基金托管人按下述比例和调整期限进行监督：</w:t>
      </w:r>
    </w:p>
    <w:p w14:paraId="6B6925A4"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）本基金对债券的投资比例不低于基金资产的</w:t>
      </w:r>
      <w:r>
        <w:rPr>
          <w:rFonts w:ascii="Times New Roman" w:hAnsi="Times New Roman" w:cs="Times New Roman" w:hint="eastAsia"/>
          <w:sz w:val="24"/>
        </w:rPr>
        <w:t>80%</w:t>
      </w:r>
      <w:r>
        <w:rPr>
          <w:rFonts w:ascii="Times New Roman" w:hAnsi="Times New Roman" w:cs="Times New Roman" w:hint="eastAsia"/>
          <w:sz w:val="24"/>
        </w:rPr>
        <w:t>，其中投资于利率</w:t>
      </w:r>
      <w:proofErr w:type="gramStart"/>
      <w:r>
        <w:rPr>
          <w:rFonts w:ascii="Times New Roman" w:hAnsi="Times New Roman" w:cs="Times New Roman" w:hint="eastAsia"/>
          <w:sz w:val="24"/>
        </w:rPr>
        <w:t>债资产</w:t>
      </w:r>
      <w:proofErr w:type="gramEnd"/>
      <w:r>
        <w:rPr>
          <w:rFonts w:ascii="Times New Roman" w:hAnsi="Times New Roman" w:cs="Times New Roman" w:hint="eastAsia"/>
          <w:sz w:val="24"/>
        </w:rPr>
        <w:t>的比例不低于非现金基金资产的</w:t>
      </w:r>
      <w:r>
        <w:rPr>
          <w:rFonts w:ascii="Times New Roman" w:hAnsi="Times New Roman" w:cs="Times New Roman" w:hint="eastAsia"/>
          <w:sz w:val="24"/>
        </w:rPr>
        <w:t>80%</w:t>
      </w:r>
      <w:r>
        <w:rPr>
          <w:rFonts w:ascii="Times New Roman" w:hAnsi="Times New Roman" w:cs="Times New Roman" w:hint="eastAsia"/>
          <w:sz w:val="24"/>
        </w:rPr>
        <w:t>；</w:t>
      </w:r>
    </w:p>
    <w:p w14:paraId="4E30B0E6" w14:textId="1754999A" w:rsidR="00BB7E47" w:rsidRDefault="005406F2">
      <w:pPr>
        <w:spacing w:line="360" w:lineRule="auto"/>
        <w:ind w:firstLine="480"/>
        <w:rPr>
          <w:rFonts w:ascii="Times New Roman" w:hAnsi="Times New Roman" w:cs="Times New Roman"/>
          <w:sz w:val="24"/>
        </w:rPr>
      </w:pPr>
      <w:r>
        <w:rPr>
          <w:rFonts w:ascii="Times New Roman" w:hAnsi="Times New Roman" w:cs="Times New Roman" w:hint="eastAsia"/>
          <w:sz w:val="24"/>
        </w:rPr>
        <w:t>（</w:t>
      </w:r>
      <w:r w:rsidR="00374D8E">
        <w:rPr>
          <w:rFonts w:ascii="Times New Roman" w:hAnsi="Times New Roman" w:cs="Times New Roman"/>
          <w:sz w:val="24"/>
        </w:rPr>
        <w:t>2</w:t>
      </w:r>
      <w:r>
        <w:rPr>
          <w:rFonts w:ascii="Times New Roman" w:hAnsi="Times New Roman" w:cs="Times New Roman" w:hint="eastAsia"/>
          <w:sz w:val="24"/>
        </w:rPr>
        <w:t>）本基金持有的现金或者到期日在一年以内的政府债券投资比例合计不低于基金资产净值的</w:t>
      </w:r>
      <w:r>
        <w:rPr>
          <w:rFonts w:ascii="Times New Roman" w:hAnsi="Times New Roman" w:cs="Times New Roman" w:hint="eastAsia"/>
          <w:sz w:val="24"/>
        </w:rPr>
        <w:t>5%</w:t>
      </w:r>
      <w:r>
        <w:rPr>
          <w:rFonts w:ascii="Times New Roman" w:hAnsi="Times New Roman" w:cs="Times New Roman" w:hint="eastAsia"/>
          <w:sz w:val="24"/>
        </w:rPr>
        <w:t>，其中现金不包括结算备付金、存出保证金、应收申购款等；</w:t>
      </w:r>
    </w:p>
    <w:p w14:paraId="3CFF3D20" w14:textId="23955561" w:rsidR="00BB7E47" w:rsidRDefault="005406F2">
      <w:pPr>
        <w:spacing w:line="360" w:lineRule="auto"/>
        <w:ind w:firstLine="480"/>
        <w:rPr>
          <w:rFonts w:ascii="Times New Roman" w:hAnsi="Times New Roman" w:cs="Times New Roman"/>
          <w:sz w:val="24"/>
        </w:rPr>
      </w:pPr>
      <w:r>
        <w:rPr>
          <w:rFonts w:ascii="Times New Roman" w:hAnsi="Times New Roman" w:cs="Times New Roman" w:hint="eastAsia"/>
          <w:sz w:val="24"/>
        </w:rPr>
        <w:t>（</w:t>
      </w:r>
      <w:r w:rsidR="00374D8E">
        <w:rPr>
          <w:rFonts w:ascii="Times New Roman" w:hAnsi="Times New Roman" w:cs="Times New Roman"/>
          <w:sz w:val="24"/>
        </w:rPr>
        <w:t>3</w:t>
      </w:r>
      <w:r>
        <w:rPr>
          <w:rFonts w:ascii="Times New Roman" w:hAnsi="Times New Roman" w:cs="Times New Roman" w:hint="eastAsia"/>
          <w:sz w:val="24"/>
        </w:rPr>
        <w:t>）基金持有一家公司发行的证券，其市值不超过基金资产净值的</w:t>
      </w:r>
      <w:r>
        <w:rPr>
          <w:rFonts w:ascii="Times New Roman" w:hAnsi="Times New Roman" w:cs="Times New Roman" w:hint="eastAsia"/>
          <w:sz w:val="24"/>
        </w:rPr>
        <w:t>10%</w:t>
      </w:r>
      <w:r>
        <w:rPr>
          <w:rFonts w:ascii="Times New Roman" w:hAnsi="Times New Roman" w:cs="Times New Roman" w:hint="eastAsia"/>
          <w:sz w:val="24"/>
        </w:rPr>
        <w:t>；</w:t>
      </w:r>
    </w:p>
    <w:p w14:paraId="26D8B8BD" w14:textId="32F93910" w:rsidR="00BB7E47" w:rsidRDefault="005406F2">
      <w:pPr>
        <w:spacing w:line="360" w:lineRule="auto"/>
        <w:ind w:firstLine="480"/>
        <w:rPr>
          <w:rFonts w:ascii="Times New Roman" w:hAnsi="Times New Roman" w:cs="Times New Roman"/>
          <w:sz w:val="24"/>
        </w:rPr>
      </w:pPr>
      <w:r>
        <w:rPr>
          <w:rFonts w:ascii="Times New Roman" w:hAnsi="Times New Roman" w:cs="Times New Roman" w:hint="eastAsia"/>
          <w:sz w:val="24"/>
        </w:rPr>
        <w:t>（</w:t>
      </w:r>
      <w:r w:rsidR="00374D8E">
        <w:rPr>
          <w:rFonts w:ascii="Times New Roman" w:hAnsi="Times New Roman" w:cs="Times New Roman"/>
          <w:sz w:val="24"/>
        </w:rPr>
        <w:t>4</w:t>
      </w:r>
      <w:r>
        <w:rPr>
          <w:rFonts w:ascii="Times New Roman" w:hAnsi="Times New Roman" w:cs="Times New Roman" w:hint="eastAsia"/>
          <w:sz w:val="24"/>
        </w:rPr>
        <w:t>）本基金管理人管理的全部基金持有一家公司发行的证券，不超过该证</w:t>
      </w:r>
      <w:r>
        <w:rPr>
          <w:rFonts w:ascii="Times New Roman" w:hAnsi="Times New Roman" w:cs="Times New Roman" w:hint="eastAsia"/>
          <w:sz w:val="24"/>
        </w:rPr>
        <w:lastRenderedPageBreak/>
        <w:t>券的</w:t>
      </w:r>
      <w:r>
        <w:rPr>
          <w:rFonts w:ascii="Times New Roman" w:hAnsi="Times New Roman" w:cs="Times New Roman" w:hint="eastAsia"/>
          <w:sz w:val="24"/>
        </w:rPr>
        <w:t>10%</w:t>
      </w:r>
      <w:r>
        <w:rPr>
          <w:rFonts w:ascii="Times New Roman" w:hAnsi="Times New Roman" w:cs="Times New Roman" w:hint="eastAsia"/>
          <w:sz w:val="24"/>
        </w:rPr>
        <w:t>；</w:t>
      </w:r>
    </w:p>
    <w:p w14:paraId="6333E268" w14:textId="1E0EF7F3" w:rsidR="00BB7E47" w:rsidRDefault="005406F2">
      <w:pPr>
        <w:spacing w:line="360" w:lineRule="auto"/>
        <w:ind w:firstLine="480"/>
        <w:rPr>
          <w:rFonts w:ascii="Times New Roman" w:hAnsi="Times New Roman" w:cs="Times New Roman"/>
          <w:sz w:val="24"/>
        </w:rPr>
      </w:pPr>
      <w:r>
        <w:rPr>
          <w:rFonts w:ascii="Times New Roman" w:hAnsi="Times New Roman" w:cs="Times New Roman" w:hint="eastAsia"/>
          <w:sz w:val="24"/>
        </w:rPr>
        <w:t>（</w:t>
      </w:r>
      <w:r w:rsidR="00374D8E">
        <w:rPr>
          <w:rFonts w:ascii="Times New Roman" w:hAnsi="Times New Roman" w:cs="Times New Roman"/>
          <w:sz w:val="24"/>
        </w:rPr>
        <w:t>5</w:t>
      </w:r>
      <w:r>
        <w:rPr>
          <w:rFonts w:ascii="Times New Roman" w:hAnsi="Times New Roman" w:cs="Times New Roman" w:hint="eastAsia"/>
          <w:sz w:val="24"/>
        </w:rPr>
        <w:t>）本基金主动投资于流动性受限资产的市值合计不得超过基金资产净值的</w:t>
      </w:r>
      <w:r>
        <w:rPr>
          <w:rFonts w:ascii="Times New Roman" w:hAnsi="Times New Roman" w:cs="Times New Roman" w:hint="eastAsia"/>
          <w:sz w:val="24"/>
        </w:rPr>
        <w:t>15%</w:t>
      </w:r>
      <w:r>
        <w:rPr>
          <w:rFonts w:ascii="Times New Roman" w:hAnsi="Times New Roman" w:cs="Times New Roman" w:hint="eastAsia"/>
          <w:sz w:val="24"/>
        </w:rPr>
        <w:t>；因证券市场波动、证券停牌、基金规模变动等基金管理人之外的因素致使基金不符合本款所规定比例限制的，基金管理人不得主动新增流动性受限资产的投资；</w:t>
      </w:r>
    </w:p>
    <w:p w14:paraId="62871FD7" w14:textId="77777777" w:rsidR="00374D8E" w:rsidRDefault="00374D8E">
      <w:pPr>
        <w:spacing w:line="360" w:lineRule="auto"/>
        <w:ind w:firstLine="480"/>
        <w:rPr>
          <w:rFonts w:ascii="Times New Roman" w:hAnsi="Times New Roman" w:cs="Times New Roman"/>
          <w:sz w:val="24"/>
        </w:rPr>
      </w:pPr>
      <w:r w:rsidRPr="00374D8E">
        <w:rPr>
          <w:rFonts w:ascii="Times New Roman" w:hAnsi="Times New Roman" w:cs="Times New Roman" w:hint="eastAsia"/>
          <w:sz w:val="24"/>
        </w:rPr>
        <w:t>（</w:t>
      </w:r>
      <w:r w:rsidRPr="00374D8E">
        <w:rPr>
          <w:rFonts w:ascii="Times New Roman" w:hAnsi="Times New Roman" w:cs="Times New Roman" w:hint="eastAsia"/>
          <w:sz w:val="24"/>
        </w:rPr>
        <w:t>6</w:t>
      </w:r>
      <w:r w:rsidRPr="00374D8E">
        <w:rPr>
          <w:rFonts w:ascii="Times New Roman" w:hAnsi="Times New Roman" w:cs="Times New Roman" w:hint="eastAsia"/>
          <w:sz w:val="24"/>
        </w:rPr>
        <w:t>）本基金与私募类</w:t>
      </w:r>
      <w:proofErr w:type="gramStart"/>
      <w:r w:rsidRPr="00374D8E">
        <w:rPr>
          <w:rFonts w:ascii="Times New Roman" w:hAnsi="Times New Roman" w:cs="Times New Roman" w:hint="eastAsia"/>
          <w:sz w:val="24"/>
        </w:rPr>
        <w:t>证券资管产品</w:t>
      </w:r>
      <w:proofErr w:type="gramEnd"/>
      <w:r w:rsidRPr="00374D8E">
        <w:rPr>
          <w:rFonts w:ascii="Times New Roman" w:hAnsi="Times New Roman" w:cs="Times New Roman" w:hint="eastAsia"/>
          <w:sz w:val="24"/>
        </w:rPr>
        <w:t>及中国证监会认定的其他主体为交易对手开展逆回购交易的，可接受质押品的资质要求应当与基金合同约定的投资范围保持一致；</w:t>
      </w:r>
    </w:p>
    <w:p w14:paraId="4292C5D7" w14:textId="67DB80B8" w:rsidR="00BB7E47" w:rsidRDefault="005406F2">
      <w:pPr>
        <w:spacing w:line="360" w:lineRule="auto"/>
        <w:ind w:firstLine="480"/>
        <w:rPr>
          <w:rFonts w:ascii="Times New Roman" w:hAnsi="Times New Roman" w:cs="Times New Roman"/>
          <w:sz w:val="24"/>
        </w:rPr>
      </w:pPr>
      <w:r>
        <w:rPr>
          <w:rFonts w:ascii="Times New Roman" w:hAnsi="Times New Roman" w:cs="Times New Roman" w:hint="eastAsia"/>
          <w:sz w:val="24"/>
        </w:rPr>
        <w:t>（</w:t>
      </w:r>
      <w:r w:rsidR="00374D8E">
        <w:rPr>
          <w:rFonts w:ascii="Times New Roman" w:hAnsi="Times New Roman" w:cs="Times New Roman"/>
          <w:sz w:val="24"/>
        </w:rPr>
        <w:t>7</w:t>
      </w:r>
      <w:r>
        <w:rPr>
          <w:rFonts w:ascii="Times New Roman" w:hAnsi="Times New Roman" w:cs="Times New Roman" w:hint="eastAsia"/>
          <w:sz w:val="24"/>
        </w:rPr>
        <w:t>）本基金总资产不得超过基金净资产的</w:t>
      </w:r>
      <w:r>
        <w:rPr>
          <w:rFonts w:ascii="Times New Roman" w:hAnsi="Times New Roman" w:cs="Times New Roman" w:hint="eastAsia"/>
          <w:sz w:val="24"/>
        </w:rPr>
        <w:t>140%</w:t>
      </w:r>
      <w:r>
        <w:rPr>
          <w:rFonts w:ascii="Times New Roman" w:hAnsi="Times New Roman" w:cs="Times New Roman" w:hint="eastAsia"/>
          <w:sz w:val="24"/>
        </w:rPr>
        <w:t>；</w:t>
      </w:r>
    </w:p>
    <w:p w14:paraId="491414F2" w14:textId="15E31724" w:rsidR="00BB7E47" w:rsidRDefault="005406F2">
      <w:pPr>
        <w:spacing w:line="360" w:lineRule="auto"/>
        <w:ind w:firstLine="480"/>
        <w:rPr>
          <w:rFonts w:ascii="Times New Roman" w:hAnsi="Times New Roman" w:cs="Times New Roman"/>
          <w:sz w:val="24"/>
        </w:rPr>
      </w:pPr>
      <w:r>
        <w:rPr>
          <w:rFonts w:ascii="Times New Roman" w:hAnsi="Times New Roman" w:cs="Times New Roman" w:hint="eastAsia"/>
          <w:sz w:val="24"/>
        </w:rPr>
        <w:t>（</w:t>
      </w:r>
      <w:r w:rsidR="00374D8E">
        <w:rPr>
          <w:rFonts w:ascii="Times New Roman" w:hAnsi="Times New Roman" w:cs="Times New Roman"/>
          <w:sz w:val="24"/>
        </w:rPr>
        <w:t>8</w:t>
      </w:r>
      <w:r>
        <w:rPr>
          <w:rFonts w:ascii="Times New Roman" w:hAnsi="Times New Roman" w:cs="Times New Roman" w:hint="eastAsia"/>
          <w:sz w:val="24"/>
        </w:rPr>
        <w:t>）法律法规及中国证监会规定的和《基金合同》约定的其他投资限制。</w:t>
      </w:r>
    </w:p>
    <w:p w14:paraId="22745C5C" w14:textId="20BADE31" w:rsidR="00BB7E47" w:rsidRDefault="005406F2">
      <w:pPr>
        <w:spacing w:line="360" w:lineRule="auto"/>
        <w:ind w:firstLine="480"/>
        <w:rPr>
          <w:rFonts w:ascii="Times New Roman" w:hAnsi="Times New Roman" w:cs="Times New Roman"/>
          <w:sz w:val="24"/>
        </w:rPr>
      </w:pPr>
      <w:r>
        <w:rPr>
          <w:rFonts w:ascii="Times New Roman" w:hAnsi="Times New Roman" w:cs="Times New Roman" w:hint="eastAsia"/>
          <w:sz w:val="24"/>
        </w:rPr>
        <w:t>除上述（</w:t>
      </w:r>
      <w:r w:rsidR="00466B43">
        <w:rPr>
          <w:rFonts w:ascii="Times New Roman" w:hAnsi="Times New Roman" w:cs="Times New Roman"/>
          <w:sz w:val="24"/>
        </w:rPr>
        <w:t>2</w:t>
      </w:r>
      <w:r>
        <w:rPr>
          <w:rFonts w:ascii="Times New Roman" w:hAnsi="Times New Roman" w:cs="Times New Roman" w:hint="eastAsia"/>
          <w:sz w:val="24"/>
        </w:rPr>
        <w:t>）、（</w:t>
      </w:r>
      <w:r w:rsidR="00466B43">
        <w:rPr>
          <w:rFonts w:ascii="Times New Roman" w:hAnsi="Times New Roman" w:cs="Times New Roman"/>
          <w:sz w:val="24"/>
        </w:rPr>
        <w:t>5</w:t>
      </w:r>
      <w:r>
        <w:rPr>
          <w:rFonts w:ascii="Times New Roman" w:hAnsi="Times New Roman" w:cs="Times New Roman" w:hint="eastAsia"/>
          <w:sz w:val="24"/>
        </w:rPr>
        <w:t>）</w:t>
      </w:r>
      <w:r w:rsidR="00466B43">
        <w:rPr>
          <w:rFonts w:ascii="Times New Roman" w:hAnsi="Times New Roman" w:cs="Times New Roman" w:hint="eastAsia"/>
          <w:sz w:val="24"/>
        </w:rPr>
        <w:t>、（</w:t>
      </w:r>
      <w:r w:rsidR="00466B43">
        <w:rPr>
          <w:rFonts w:ascii="Times New Roman" w:hAnsi="Times New Roman" w:cs="Times New Roman" w:hint="eastAsia"/>
          <w:sz w:val="24"/>
        </w:rPr>
        <w:t>6</w:t>
      </w:r>
      <w:r w:rsidR="00466B43">
        <w:rPr>
          <w:rFonts w:ascii="Times New Roman" w:hAnsi="Times New Roman" w:cs="Times New Roman" w:hint="eastAsia"/>
          <w:sz w:val="24"/>
        </w:rPr>
        <w:t>）</w:t>
      </w:r>
      <w:r>
        <w:rPr>
          <w:rFonts w:ascii="Times New Roman" w:hAnsi="Times New Roman" w:cs="Times New Roman" w:hint="eastAsia"/>
          <w:sz w:val="24"/>
        </w:rPr>
        <w:t>情形之外，因证券市场波动、证券发行人合并、基金规模变动等基金管理人之外的因素致使基金投资比例不符合上述规定投资比例的，基金管理人应当在</w:t>
      </w:r>
      <w:r>
        <w:rPr>
          <w:rFonts w:ascii="Times New Roman" w:hAnsi="Times New Roman" w:cs="Times New Roman" w:hint="eastAsia"/>
          <w:sz w:val="24"/>
        </w:rPr>
        <w:t>10</w:t>
      </w:r>
      <w:r>
        <w:rPr>
          <w:rFonts w:ascii="Times New Roman" w:hAnsi="Times New Roman" w:cs="Times New Roman" w:hint="eastAsia"/>
          <w:sz w:val="24"/>
        </w:rPr>
        <w:t>个交易日内进行调整，但中国证监会规定的特殊情形除外。法律法规另有规定的，从其规定。</w:t>
      </w:r>
    </w:p>
    <w:p w14:paraId="65080418" w14:textId="069486FD" w:rsidR="00BB7E47" w:rsidRDefault="005406F2">
      <w:pPr>
        <w:spacing w:line="360" w:lineRule="auto"/>
        <w:ind w:firstLine="480"/>
        <w:rPr>
          <w:rFonts w:ascii="Times New Roman" w:hAnsi="Times New Roman" w:cs="Times New Roman"/>
          <w:sz w:val="24"/>
        </w:rPr>
      </w:pPr>
      <w:r>
        <w:rPr>
          <w:rFonts w:ascii="Times New Roman" w:hAnsi="Times New Roman" w:cs="Times New Roman" w:hint="eastAsia"/>
          <w:sz w:val="24"/>
        </w:rPr>
        <w:t>基金管理人应当自基金合同生效之日起</w:t>
      </w:r>
      <w:r>
        <w:rPr>
          <w:rFonts w:ascii="Times New Roman" w:hAnsi="Times New Roman" w:cs="Times New Roman" w:hint="eastAsia"/>
          <w:sz w:val="24"/>
        </w:rPr>
        <w:t>6</w:t>
      </w:r>
      <w:r>
        <w:rPr>
          <w:rFonts w:ascii="Times New Roman" w:hAnsi="Times New Roman" w:cs="Times New Roman"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9814850" w14:textId="3A6738E2" w:rsidR="00BB7E47" w:rsidRDefault="005406F2">
      <w:pPr>
        <w:spacing w:after="0" w:line="360" w:lineRule="auto"/>
        <w:ind w:firstLine="482"/>
        <w:rPr>
          <w:rFonts w:ascii="Times New Roman" w:hAnsi="Times New Roman" w:cs="Times New Roman"/>
          <w:sz w:val="24"/>
        </w:rPr>
      </w:pPr>
      <w:r>
        <w:rPr>
          <w:rFonts w:ascii="Times New Roman" w:hAnsi="Times New Roman" w:cs="Times New Roman" w:hint="eastAsia"/>
          <w:sz w:val="24"/>
        </w:rPr>
        <w:t>法律法规或监管部门取消或变更上述限制，如适用于本基金，基金管理人在履行适当程序后，则本基金投资不再受相关限制或按调整后的规定执行，但须提前公告。</w:t>
      </w:r>
    </w:p>
    <w:p w14:paraId="5FBFDCBC" w14:textId="77777777" w:rsidR="00BB7E47" w:rsidRDefault="005406F2">
      <w:pPr>
        <w:spacing w:line="360" w:lineRule="auto"/>
        <w:ind w:firstLine="480"/>
        <w:rPr>
          <w:rFonts w:ascii="Times New Roman" w:hAnsi="Times New Roman" w:cs="Times New Roman"/>
          <w:bCs/>
          <w:sz w:val="24"/>
        </w:rPr>
      </w:pPr>
      <w:r>
        <w:rPr>
          <w:rFonts w:ascii="Times New Roman" w:hAnsi="Times New Roman" w:cs="Times New Roman"/>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Pr>
          <w:rFonts w:ascii="Times New Roman" w:hAnsi="Times New Roman" w:cs="Times New Roman" w:hint="eastAsia"/>
          <w:bCs/>
          <w:sz w:val="24"/>
        </w:rPr>
        <w:t>基金份额</w:t>
      </w:r>
      <w:r>
        <w:rPr>
          <w:rFonts w:ascii="Times New Roman" w:hAnsi="Times New Roman" w:cs="Times New Roman"/>
          <w:bCs/>
          <w:sz w:val="24"/>
        </w:rPr>
        <w:t>持有人利益优先原则，防范利益冲突，建立健全内部审批机制和评估机制，按照市场公平合理价格执行。相关交易必须事先得到基金托管人的同意，</w:t>
      </w:r>
      <w:r>
        <w:rPr>
          <w:rFonts w:ascii="Times New Roman" w:hAnsi="Times New Roman" w:cs="Times New Roman"/>
          <w:bCs/>
          <w:sz w:val="24"/>
        </w:rPr>
        <w:lastRenderedPageBreak/>
        <w:t>并按法律法规予以披露。重大关联交易应提交基金管理人董事会审议，并经过三分之二以上的独立董事通过。基金管理人董事会应至少每半年对关联交易事项进行审查。</w:t>
      </w:r>
    </w:p>
    <w:p w14:paraId="5E840790" w14:textId="77777777" w:rsidR="00BB7E47" w:rsidRDefault="005406F2">
      <w:pPr>
        <w:spacing w:line="360" w:lineRule="auto"/>
        <w:ind w:firstLine="480"/>
        <w:rPr>
          <w:rFonts w:ascii="Times New Roman" w:hAnsi="Times New Roman" w:cs="Times New Roman"/>
          <w:bCs/>
          <w:sz w:val="24"/>
        </w:rPr>
      </w:pPr>
      <w:r>
        <w:rPr>
          <w:rFonts w:ascii="Times New Roman" w:hAnsi="Times New Roman" w:cs="Times New Roman"/>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Times New Roman" w:hAnsi="Times New Roman" w:cs="Times New Roman"/>
          <w:bCs/>
          <w:sz w:val="24"/>
        </w:rPr>
        <w:t>启用侧袋机制</w:t>
      </w:r>
      <w:proofErr w:type="gramEnd"/>
      <w:r>
        <w:rPr>
          <w:rFonts w:ascii="Times New Roman" w:hAnsi="Times New Roman" w:cs="Times New Roman"/>
          <w:bCs/>
          <w:sz w:val="24"/>
        </w:rPr>
        <w:t>，无需召开基金份额持有人大会审议。</w:t>
      </w:r>
    </w:p>
    <w:p w14:paraId="0A231567" w14:textId="77777777" w:rsidR="00BB7E47" w:rsidRDefault="005406F2">
      <w:pPr>
        <w:spacing w:line="360" w:lineRule="auto"/>
        <w:ind w:firstLine="480"/>
        <w:rPr>
          <w:rFonts w:ascii="Times New Roman" w:hAnsi="Times New Roman" w:cs="Times New Roman"/>
          <w:bCs/>
          <w:sz w:val="24"/>
        </w:rPr>
      </w:pPr>
      <w:proofErr w:type="gramStart"/>
      <w:r>
        <w:rPr>
          <w:rFonts w:ascii="Times New Roman" w:hAnsi="Times New Roman" w:cs="Times New Roman"/>
          <w:bCs/>
          <w:sz w:val="24"/>
        </w:rPr>
        <w:t>侧袋机制</w:t>
      </w:r>
      <w:proofErr w:type="gramEnd"/>
      <w:r>
        <w:rPr>
          <w:rFonts w:ascii="Times New Roman" w:hAnsi="Times New Roman" w:cs="Times New Roman"/>
          <w:bCs/>
          <w:sz w:val="24"/>
        </w:rPr>
        <w:t>的具体规则依照相关法律法规的规定和基金合同的约定执行。</w:t>
      </w:r>
    </w:p>
    <w:p w14:paraId="7EF8CE15"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（三）基金托管人根据有关法律法规的规定及基金合同的约定，对本托管协议第十五条第九款基金投资禁止行为进行监督。</w:t>
      </w:r>
    </w:p>
    <w:p w14:paraId="2A06E847"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为维护基金份额持有人的合法权益，基金财产不得用于下列投资或者活动：</w:t>
      </w:r>
    </w:p>
    <w:p w14:paraId="6609ADF4"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）承销证券；</w:t>
      </w:r>
    </w:p>
    <w:p w14:paraId="1C635265"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bCs/>
          <w:sz w:val="24"/>
          <w:szCs w:val="20"/>
        </w:rPr>
        <w:t>违反规定</w:t>
      </w:r>
      <w:r>
        <w:rPr>
          <w:rFonts w:ascii="Times New Roman" w:hAnsi="Times New Roman" w:cs="Times New Roman"/>
          <w:sz w:val="24"/>
        </w:rPr>
        <w:t>向他人贷款或者提供担保；</w:t>
      </w:r>
    </w:p>
    <w:p w14:paraId="295C9D9F"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）从事承担无限责任的投资；</w:t>
      </w:r>
    </w:p>
    <w:p w14:paraId="6117A7B0"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）买卖其他基金份额，但是</w:t>
      </w:r>
      <w:r>
        <w:rPr>
          <w:rFonts w:ascii="Times New Roman" w:hAnsi="Times New Roman" w:cs="Times New Roman"/>
          <w:bCs/>
          <w:sz w:val="24"/>
          <w:szCs w:val="20"/>
        </w:rPr>
        <w:t>中国证监会</w:t>
      </w:r>
      <w:r>
        <w:rPr>
          <w:rFonts w:ascii="Times New Roman" w:hAnsi="Times New Roman" w:cs="Times New Roman"/>
          <w:sz w:val="24"/>
        </w:rPr>
        <w:t>另有规定的除外；</w:t>
      </w:r>
    </w:p>
    <w:p w14:paraId="6388FD5A"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）向其基金管理人、基金托管人出资；</w:t>
      </w:r>
    </w:p>
    <w:p w14:paraId="196C4D8C"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）从事内幕交易、操纵证券交易价格及其他不正当的证券交易活动；</w:t>
      </w:r>
    </w:p>
    <w:p w14:paraId="6AE7C441"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Cs/>
          <w:sz w:val="24"/>
          <w:szCs w:val="20"/>
        </w:rPr>
        <w:t>7</w:t>
      </w:r>
      <w:r>
        <w:rPr>
          <w:rFonts w:ascii="Times New Roman" w:hAnsi="Times New Roman" w:cs="Times New Roman"/>
          <w:bCs/>
          <w:sz w:val="24"/>
          <w:szCs w:val="20"/>
        </w:rPr>
        <w:t>）</w:t>
      </w:r>
      <w:r>
        <w:rPr>
          <w:rFonts w:ascii="Times New Roman" w:hAnsi="Times New Roman" w:cs="Times New Roman"/>
          <w:sz w:val="24"/>
        </w:rPr>
        <w:t>法律</w:t>
      </w:r>
      <w:r>
        <w:rPr>
          <w:rFonts w:ascii="Times New Roman" w:hAnsi="Times New Roman" w:cs="Times New Roman"/>
          <w:bCs/>
          <w:sz w:val="24"/>
          <w:szCs w:val="20"/>
        </w:rPr>
        <w:t>、行政</w:t>
      </w:r>
      <w:r>
        <w:rPr>
          <w:rFonts w:ascii="Times New Roman" w:hAnsi="Times New Roman" w:cs="Times New Roman"/>
          <w:sz w:val="24"/>
        </w:rPr>
        <w:t>法规</w:t>
      </w:r>
      <w:r>
        <w:rPr>
          <w:rFonts w:ascii="Times New Roman" w:hAnsi="Times New Roman" w:cs="Times New Roman"/>
          <w:bCs/>
          <w:sz w:val="24"/>
          <w:szCs w:val="20"/>
        </w:rPr>
        <w:t>和</w:t>
      </w:r>
      <w:r>
        <w:rPr>
          <w:rFonts w:ascii="Times New Roman" w:hAnsi="Times New Roman" w:cs="Times New Roman"/>
          <w:sz w:val="24"/>
        </w:rPr>
        <w:t>中国证监会规定禁止的其他活动。</w:t>
      </w:r>
    </w:p>
    <w:p w14:paraId="5860EDFE" w14:textId="77777777" w:rsidR="00BB7E47" w:rsidRDefault="005406F2">
      <w:pPr>
        <w:spacing w:line="360" w:lineRule="auto"/>
        <w:ind w:firstLine="480"/>
        <w:rPr>
          <w:rFonts w:ascii="Times New Roman" w:hAnsi="Times New Roman" w:cs="Times New Roman"/>
          <w:bCs/>
          <w:sz w:val="24"/>
        </w:rPr>
      </w:pPr>
      <w:r>
        <w:rPr>
          <w:rFonts w:ascii="Times New Roman" w:hAnsi="Times New Roman" w:cs="Times New Roman"/>
          <w:bCs/>
          <w:sz w:val="24"/>
          <w:szCs w:val="20"/>
        </w:rPr>
        <w:t>法律法规或监管部门取消或变更上述限制，如适用于本基金，在基金管理人履行适当程序后，则本基金投资不再受相关限制或按照变更后的规定执行。</w:t>
      </w:r>
    </w:p>
    <w:p w14:paraId="19971732"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（四）基金托管人根据有关法律法规的规定及基金合同的约定，对基金管理人参与银行间债券市场进行监督。</w:t>
      </w:r>
    </w:p>
    <w:p w14:paraId="54619E8C"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基金管理人应在基金投资运作之前按照规定的数据格式向基金托管人提供</w:t>
      </w:r>
      <w:r>
        <w:rPr>
          <w:rFonts w:ascii="Times New Roman" w:hAnsi="Times New Roman" w:cs="Times New Roman"/>
          <w:sz w:val="24"/>
          <w:szCs w:val="24"/>
        </w:rPr>
        <w:lastRenderedPageBreak/>
        <w:t>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w:t>
      </w:r>
      <w:r>
        <w:rPr>
          <w:rFonts w:ascii="Times New Roman" w:hAnsi="Times New Roman" w:cs="Times New Roman" w:hint="eastAsia"/>
          <w:sz w:val="24"/>
          <w:szCs w:val="24"/>
        </w:rPr>
        <w:t>，如基金管理人未按要求提供银行间债券市场交易名单，导致基金托管人无法有效履行监督职责，由此造成的损失和责任均由基金管理人承担</w:t>
      </w:r>
      <w:r>
        <w:rPr>
          <w:rFonts w:ascii="Times New Roman" w:hAnsi="Times New Roman" w:cs="Times New Roman"/>
          <w:sz w:val="24"/>
          <w:szCs w:val="24"/>
        </w:rPr>
        <w:t>。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Pr>
          <w:rFonts w:ascii="Times New Roman" w:hAnsi="Times New Roman" w:cs="Times New Roman"/>
          <w:sz w:val="24"/>
          <w:szCs w:val="24"/>
        </w:rPr>
        <w:t>3</w:t>
      </w:r>
      <w:r>
        <w:rPr>
          <w:rFonts w:ascii="Times New Roman" w:hAnsi="Times New Roman" w:cs="Times New Roman"/>
          <w:sz w:val="24"/>
          <w:szCs w:val="24"/>
        </w:rPr>
        <w:t>个工作日内与基金托管人协商解决。</w:t>
      </w:r>
    </w:p>
    <w:p w14:paraId="400C4257"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负责对交易对手的资信控制，按银行间债券市场的交易规则进行交易，并承担交易对手不履行合同造成的损失，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相应损失和责任。</w:t>
      </w:r>
    </w:p>
    <w:p w14:paraId="2B1CBDE2" w14:textId="388430E6"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五</w:t>
      </w:r>
      <w:r>
        <w:rPr>
          <w:rFonts w:ascii="Times New Roman" w:hAnsi="Times New Roman" w:cs="Times New Roman"/>
          <w:sz w:val="24"/>
          <w:szCs w:val="24"/>
        </w:rPr>
        <w:t>）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任何责任。开立定期存款账户时，定期存款账户的户名应与托管账户户名一致，本着便于基金财产的安全保管和日常监督核查的原则，存款行应尽量选择托管账户所在地的分支机构。对于跨行定期存款投资，管理人必须和存款机构签订定期存款协议，约定双方的权利和义务，该协议作为划款指令附件。该协议中必须有如下明确条款：</w:t>
      </w:r>
      <w:r>
        <w:rPr>
          <w:rFonts w:ascii="Times New Roman" w:hAnsi="Times New Roman" w:cs="Times New Roman"/>
          <w:sz w:val="24"/>
          <w:szCs w:val="24"/>
        </w:rPr>
        <w:t>“</w:t>
      </w:r>
      <w:r>
        <w:rPr>
          <w:rFonts w:ascii="Times New Roman" w:hAnsi="Times New Roman" w:cs="Times New Roman"/>
          <w:sz w:val="24"/>
          <w:szCs w:val="24"/>
        </w:rPr>
        <w:t>存款证实书不得被质押或以任何方式被抵押，并不得用于转让和背书；本息到期归还或提前支取的所有款项必须划至托管专户（明确户名、开户行、账号等），不得划入其他任何账户</w:t>
      </w:r>
      <w:r>
        <w:rPr>
          <w:rFonts w:ascii="Times New Roman" w:hAnsi="Times New Roman" w:cs="Times New Roman"/>
          <w:sz w:val="24"/>
          <w:szCs w:val="24"/>
        </w:rPr>
        <w:t>”</w:t>
      </w:r>
      <w:r>
        <w:rPr>
          <w:rFonts w:ascii="Times New Roman" w:hAnsi="Times New Roman" w:cs="Times New Roman"/>
          <w:sz w:val="24"/>
          <w:szCs w:val="24"/>
        </w:rPr>
        <w:t>。并依照本协议交接原则对存单交接流程予以明确。对于跨行存款，管理人需提前与托管人就定期存款协议及存单交接流程进行沟通。除非存款协议中规定存款证实书由存款</w:t>
      </w:r>
      <w:r>
        <w:rPr>
          <w:rFonts w:ascii="Times New Roman" w:hAnsi="Times New Roman" w:cs="Times New Roman"/>
          <w:sz w:val="24"/>
          <w:szCs w:val="24"/>
        </w:rPr>
        <w:lastRenderedPageBreak/>
        <w:t>行保管或存款协议作为存款支取的依据，存单交接原则上采用存款行上门服务的方式。特殊情况下，采用基金管理人交接存单的方式。在取得存款证实书后，托管人保管证实书正本。</w:t>
      </w:r>
      <w:r>
        <w:rPr>
          <w:rFonts w:ascii="Times New Roman" w:hAnsi="Times New Roman" w:cs="Times New Roman" w:hint="eastAsia"/>
          <w:sz w:val="24"/>
          <w:szCs w:val="24"/>
          <w:lang w:eastAsia="zh-Hans"/>
        </w:rPr>
        <w:t>托管人不对存款证实书的真实性负责</w:t>
      </w:r>
      <w:r>
        <w:rPr>
          <w:rFonts w:ascii="Times New Roman" w:hAnsi="Times New Roman" w:cs="Times New Roman"/>
          <w:sz w:val="24"/>
          <w:szCs w:val="24"/>
          <w:lang w:eastAsia="zh-Hans"/>
        </w:rPr>
        <w:t>。</w:t>
      </w:r>
      <w:r>
        <w:rPr>
          <w:rFonts w:ascii="Times New Roman" w:hAnsi="Times New Roman" w:cs="Times New Roman"/>
          <w:sz w:val="24"/>
          <w:szCs w:val="24"/>
        </w:rPr>
        <w:t>管理人需对跨行存款的利率政策风险、存款行的选择及存款协议承担责任，并指定专人在核实存款行授权人员身份信息后，负责印鉴卡与存款证实书等凭证的监交或交接，以确保与托管人所交接凭证的真实性、准确性和完整性。托管人对投资后处于托管人实际控制之外的资产不承担保管责任。跨行定期存款账户的预留印鉴为托管人托管</w:t>
      </w:r>
      <w:r>
        <w:rPr>
          <w:rFonts w:ascii="Times New Roman" w:hAnsi="Times New Roman" w:cs="Times New Roman" w:hint="eastAsia"/>
          <w:sz w:val="24"/>
          <w:szCs w:val="24"/>
        </w:rPr>
        <w:t>财务</w:t>
      </w:r>
      <w:r>
        <w:rPr>
          <w:rFonts w:ascii="Times New Roman" w:hAnsi="Times New Roman" w:cs="Times New Roman"/>
          <w:sz w:val="24"/>
          <w:szCs w:val="24"/>
        </w:rPr>
        <w:t>专用章与托管业务授权人名章。</w:t>
      </w:r>
    </w:p>
    <w:p w14:paraId="08AD4E96" w14:textId="0417FAEA"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六</w:t>
      </w:r>
      <w:r>
        <w:rPr>
          <w:rFonts w:ascii="Times New Roman" w:hAnsi="Times New Roman" w:cs="Times New Roman"/>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BAC8EE7"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除必要的披露及监管要求外，</w:t>
      </w:r>
      <w:r>
        <w:rPr>
          <w:rFonts w:ascii="Times New Roman" w:hAnsi="Times New Roman" w:cs="Times New Roman" w:hint="eastAsia"/>
          <w:sz w:val="24"/>
          <w:szCs w:val="24"/>
          <w:lang w:eastAsia="zh-Hans"/>
        </w:rPr>
        <w:t>基金管理人</w:t>
      </w:r>
      <w:r>
        <w:rPr>
          <w:rFonts w:ascii="Times New Roman" w:hAnsi="Times New Roman" w:cs="Times New Roman"/>
          <w:sz w:val="24"/>
          <w:szCs w:val="24"/>
        </w:rPr>
        <w:t>不得以</w:t>
      </w:r>
      <w:r>
        <w:rPr>
          <w:rFonts w:ascii="Times New Roman" w:hAnsi="Times New Roman" w:cs="Times New Roman" w:hint="eastAsia"/>
          <w:sz w:val="24"/>
          <w:szCs w:val="24"/>
          <w:lang w:eastAsia="zh-Hans"/>
        </w:rPr>
        <w:t>基金托管人</w:t>
      </w:r>
      <w:r>
        <w:rPr>
          <w:rFonts w:ascii="Times New Roman" w:hAnsi="Times New Roman" w:cs="Times New Roman"/>
          <w:sz w:val="24"/>
          <w:szCs w:val="24"/>
        </w:rPr>
        <w:t>的名义做营销宣传。如果基金管理人未经基金托管人的审核擅自将不实的业绩表现数据印制在宣传推介材料上，</w:t>
      </w:r>
      <w:proofErr w:type="gramStart"/>
      <w:r>
        <w:rPr>
          <w:rFonts w:ascii="Times New Roman" w:hAnsi="Times New Roman" w:cs="Times New Roman"/>
          <w:sz w:val="24"/>
          <w:szCs w:val="24"/>
        </w:rPr>
        <w:t>则基金</w:t>
      </w:r>
      <w:proofErr w:type="gramEnd"/>
      <w:r>
        <w:rPr>
          <w:rFonts w:ascii="Times New Roman" w:hAnsi="Times New Roman" w:cs="Times New Roman"/>
          <w:sz w:val="24"/>
          <w:szCs w:val="24"/>
        </w:rPr>
        <w:t>托管人对此不承担任何责任，并将在发现后立即报告中国证监会。</w:t>
      </w:r>
    </w:p>
    <w:p w14:paraId="25F33FE3" w14:textId="2701A672"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七</w:t>
      </w:r>
      <w:r>
        <w:rPr>
          <w:rFonts w:ascii="Times New Roman" w:hAnsi="Times New Roman" w:cs="Times New Roman"/>
          <w:sz w:val="24"/>
          <w:szCs w:val="24"/>
        </w:rPr>
        <w:t>）基金托管人发现基金管理人的上述事项及投资指令或实际投资运作违反法律法规、基金合同和本托管协议的规定，应及时以电话提醒或书面提示等方式通知基金管理人限期纠正。</w:t>
      </w:r>
    </w:p>
    <w:p w14:paraId="7FE6A6A0" w14:textId="055B292D"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基金管理人应积极配合和协助基金托管人的监督和核查。基金管理人收到书面通知后应在下一工作日前及时核对并以书面形式给基金托管人发出回函，就基金托管人的</w:t>
      </w:r>
      <w:r>
        <w:rPr>
          <w:rFonts w:ascii="Times New Roman" w:hAnsi="Times New Roman" w:cs="Times New Roman" w:hint="eastAsia"/>
          <w:sz w:val="24"/>
          <w:szCs w:val="24"/>
        </w:rPr>
        <w:t>合理</w:t>
      </w:r>
      <w:r>
        <w:rPr>
          <w:rFonts w:ascii="Times New Roman" w:hAnsi="Times New Roman" w:cs="Times New Roman"/>
          <w:sz w:val="24"/>
          <w:szCs w:val="24"/>
        </w:rPr>
        <w:t>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w:t>
      </w:r>
      <w:r>
        <w:rPr>
          <w:rFonts w:ascii="Times New Roman" w:hAnsi="Times New Roman" w:cs="Times New Roman" w:hint="eastAsia"/>
          <w:sz w:val="24"/>
          <w:szCs w:val="24"/>
          <w:lang w:eastAsia="zh-Hans"/>
        </w:rPr>
        <w:t>有权</w:t>
      </w:r>
      <w:r>
        <w:rPr>
          <w:rFonts w:ascii="Times New Roman" w:hAnsi="Times New Roman" w:cs="Times New Roman"/>
          <w:sz w:val="24"/>
          <w:szCs w:val="24"/>
        </w:rPr>
        <w:t>报告中国证监会。</w:t>
      </w:r>
    </w:p>
    <w:p w14:paraId="4E934D0C" w14:textId="15475AF3"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八</w:t>
      </w:r>
      <w:r>
        <w:rPr>
          <w:rFonts w:ascii="Times New Roman" w:hAnsi="Times New Roman" w:cs="Times New Roman"/>
          <w:sz w:val="24"/>
          <w:szCs w:val="24"/>
        </w:rPr>
        <w:t>）基金管理人有义务配合和协助基金托管人依照法律法规、基金合同和本托管协议对基金业务执行核查。</w:t>
      </w:r>
    </w:p>
    <w:p w14:paraId="03FFA832"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lastRenderedPageBreak/>
        <w:t>对基金托管人发出的书面提示，基金管理人应在规定时间内答复并改正，或就基金托管人的</w:t>
      </w:r>
      <w:r>
        <w:rPr>
          <w:rFonts w:ascii="Times New Roman" w:hAnsi="Times New Roman" w:cs="Times New Roman" w:hint="eastAsia"/>
          <w:sz w:val="24"/>
          <w:szCs w:val="24"/>
        </w:rPr>
        <w:t>合理</w:t>
      </w:r>
      <w:r>
        <w:rPr>
          <w:rFonts w:ascii="Times New Roman" w:hAnsi="Times New Roman" w:cs="Times New Roman"/>
          <w:sz w:val="24"/>
          <w:szCs w:val="24"/>
        </w:rPr>
        <w:t>疑义进行解释或举证；对基金托管人按照法律法规、基金合同和本托管协议的要求需向中国证监会报送基金监督报告的事项，基金管理人应积极配合提供相关数据资料和制度等。</w:t>
      </w:r>
    </w:p>
    <w:p w14:paraId="01E429AF" w14:textId="6D78C735"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九</w:t>
      </w:r>
      <w:r>
        <w:rPr>
          <w:rFonts w:ascii="Times New Roman" w:hAnsi="Times New Roman" w:cs="Times New Roman"/>
          <w:sz w:val="24"/>
          <w:szCs w:val="24"/>
        </w:rPr>
        <w:t>）</w:t>
      </w:r>
      <w:proofErr w:type="gramStart"/>
      <w:r>
        <w:rPr>
          <w:rFonts w:ascii="Times New Roman" w:hAnsi="Times New Roman" w:cs="Times New Roman"/>
          <w:sz w:val="24"/>
          <w:szCs w:val="24"/>
        </w:rPr>
        <w:t>若基金</w:t>
      </w:r>
      <w:proofErr w:type="gramEnd"/>
      <w:r>
        <w:rPr>
          <w:rFonts w:ascii="Times New Roman" w:hAnsi="Times New Roman" w:cs="Times New Roman"/>
          <w:sz w:val="24"/>
          <w:szCs w:val="24"/>
        </w:rPr>
        <w:t>托管人发现基金管理人依据交易程序已经生效的指令违反法律、行政法规和其他有关规定，或者违反基金合同约定的，应当立即通知基金管理人。</w:t>
      </w:r>
    </w:p>
    <w:p w14:paraId="291FD5CC" w14:textId="4D7F3F8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（十）基金托管人发现基金管理人有重大违规行为，有权报告中国证监会，同时通知基金管理人限期纠正，并将纠正结果报告中国证监会。</w:t>
      </w:r>
    </w:p>
    <w:p w14:paraId="4559C7EE"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2057D79F" w14:textId="77777777" w:rsidR="00BB7E47" w:rsidRDefault="005406F2">
      <w:pPr>
        <w:spacing w:afterLines="100" w:after="312" w:line="360" w:lineRule="auto"/>
        <w:jc w:val="center"/>
        <w:outlineLvl w:val="0"/>
        <w:rPr>
          <w:rFonts w:ascii="Times New Roman" w:hAnsi="Times New Roman" w:cs="Times New Roman"/>
        </w:rPr>
      </w:pPr>
      <w:r>
        <w:rPr>
          <w:rFonts w:ascii="Times New Roman" w:hAnsi="Times New Roman" w:cs="Times New Roman"/>
          <w:sz w:val="24"/>
          <w:szCs w:val="24"/>
        </w:rPr>
        <w:br w:type="page"/>
      </w:r>
      <w:bookmarkStart w:id="4" w:name="_Toc440289532"/>
      <w:r>
        <w:rPr>
          <w:rFonts w:ascii="Times New Roman" w:hAnsi="Times New Roman" w:cs="Times New Roman"/>
          <w:b/>
          <w:sz w:val="30"/>
          <w:szCs w:val="30"/>
        </w:rPr>
        <w:lastRenderedPageBreak/>
        <w:t>四、基金管理人对基金托管人的业务核查</w:t>
      </w:r>
      <w:bookmarkEnd w:id="4"/>
    </w:p>
    <w:p w14:paraId="64F7A04A" w14:textId="2BEF5B41"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ACD1333"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14:paraId="7866369C"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Times New Roman" w:hAnsi="Times New Roman" w:cs="Times New Roman"/>
          <w:sz w:val="24"/>
          <w:szCs w:val="24"/>
        </w:rPr>
        <w:t>供基金</w:t>
      </w:r>
      <w:proofErr w:type="gramEnd"/>
      <w:r>
        <w:rPr>
          <w:rFonts w:ascii="Times New Roman" w:hAnsi="Times New Roman" w:cs="Times New Roman"/>
          <w:sz w:val="24"/>
          <w:szCs w:val="24"/>
        </w:rPr>
        <w:t>管理人核查托管财产的完整性和真实性，在规定时间内答复基金管理人并改正。</w:t>
      </w:r>
    </w:p>
    <w:p w14:paraId="0449E986"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（三）基金管理人发现基金托管人有重大违规行为，应及时报告中国证监会，同时通知基金托管人限期纠正，并将纠正结果报告中国证监会。</w:t>
      </w:r>
    </w:p>
    <w:p w14:paraId="22906E0F"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基金托管人无正当理由，拒绝、阻挠对方根据本协议规定行使监督权，或采取拖延、欺诈等手段妨碍对方进行有效监督，情节严重或经基金管理人提出警告仍不改正的，基金管理人应报告中国证监会。</w:t>
      </w:r>
    </w:p>
    <w:p w14:paraId="19DAE7A7" w14:textId="77777777" w:rsidR="00BB7E47" w:rsidRDefault="005406F2">
      <w:pPr>
        <w:spacing w:afterLines="100" w:after="312" w:line="360" w:lineRule="auto"/>
        <w:jc w:val="center"/>
        <w:outlineLvl w:val="0"/>
        <w:rPr>
          <w:rFonts w:ascii="Times New Roman" w:hAnsi="Times New Roman" w:cs="Times New Roman"/>
        </w:rPr>
      </w:pPr>
      <w:r>
        <w:rPr>
          <w:rFonts w:ascii="Times New Roman" w:hAnsi="Times New Roman" w:cs="Times New Roman"/>
          <w:sz w:val="24"/>
          <w:szCs w:val="24"/>
        </w:rPr>
        <w:br w:type="page"/>
      </w:r>
      <w:bookmarkStart w:id="5" w:name="_Toc440289533"/>
      <w:r>
        <w:rPr>
          <w:rFonts w:ascii="Times New Roman" w:hAnsi="Times New Roman" w:cs="Times New Roman"/>
          <w:b/>
          <w:sz w:val="30"/>
          <w:szCs w:val="30"/>
        </w:rPr>
        <w:lastRenderedPageBreak/>
        <w:t>五、基金财产的保管</w:t>
      </w:r>
      <w:bookmarkEnd w:id="5"/>
    </w:p>
    <w:p w14:paraId="7DF5BFF7"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（一）基金财产保管的原则</w:t>
      </w:r>
    </w:p>
    <w:p w14:paraId="57D25FD0"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．基金财产应独立于基金管理人、基金托管人的固有财产；</w:t>
      </w:r>
    </w:p>
    <w:p w14:paraId="3CB29CC8"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．基金托管人应安全保管基金财产；</w:t>
      </w:r>
    </w:p>
    <w:p w14:paraId="2B3585EA"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．基金托管人按照规定开设基金财产的资金账户和证券账户；</w:t>
      </w:r>
    </w:p>
    <w:p w14:paraId="3F5F3301"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．基金托管人对所托管的不同基金财产分别设置账户，确保基金财产的完整与独立；</w:t>
      </w:r>
      <w:r>
        <w:rPr>
          <w:rFonts w:ascii="Times New Roman" w:hAnsi="Times New Roman" w:cs="Times New Roman"/>
          <w:sz w:val="24"/>
          <w:szCs w:val="24"/>
        </w:rPr>
        <w:t xml:space="preserve"> </w:t>
      </w:r>
    </w:p>
    <w:p w14:paraId="423494C4"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．基金托管人根据基金管理人的指令，按照基金合同和本协议的约定保管基金财产，如有特殊情况双方可另行协商解决；</w:t>
      </w:r>
    </w:p>
    <w:p w14:paraId="763BF027"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w:t>
      </w:r>
    </w:p>
    <w:p w14:paraId="7478F6E9"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．除依据法律法规和基金合同的规定外，基金托管人不得委托第三人托管基金财产。</w:t>
      </w:r>
    </w:p>
    <w:p w14:paraId="5FA53477"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（二）基金募集期间及募集资金的验资</w:t>
      </w:r>
    </w:p>
    <w:p w14:paraId="5FDAA1C1"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．基金募集期间募集的资金应存于基金管理人在基金托管人的营业机构开立的</w:t>
      </w:r>
      <w:r>
        <w:rPr>
          <w:rFonts w:ascii="Times New Roman" w:hAnsi="Times New Roman" w:cs="Times New Roman"/>
          <w:sz w:val="24"/>
          <w:szCs w:val="24"/>
        </w:rPr>
        <w:t>“</w:t>
      </w:r>
      <w:r>
        <w:rPr>
          <w:rFonts w:ascii="Times New Roman" w:hAnsi="Times New Roman" w:cs="Times New Roman"/>
          <w:sz w:val="24"/>
          <w:szCs w:val="24"/>
        </w:rPr>
        <w:t>基金募集专户</w:t>
      </w:r>
      <w:r>
        <w:rPr>
          <w:rFonts w:ascii="Times New Roman" w:hAnsi="Times New Roman" w:cs="Times New Roman"/>
          <w:sz w:val="24"/>
          <w:szCs w:val="24"/>
        </w:rPr>
        <w:t>”</w:t>
      </w:r>
      <w:r>
        <w:rPr>
          <w:rFonts w:ascii="Times New Roman" w:hAnsi="Times New Roman" w:cs="Times New Roman"/>
          <w:sz w:val="24"/>
          <w:szCs w:val="24"/>
        </w:rPr>
        <w:t>，该账户由基金管理人委托的登记机构开立并管理。</w:t>
      </w:r>
    </w:p>
    <w:p w14:paraId="617C51DC"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符合《中华人民共和国证券法》规定的会计师事务所进行验资，出具验资报告。出具的验资报告由参加验资的</w:t>
      </w:r>
      <w:r>
        <w:rPr>
          <w:rFonts w:ascii="Times New Roman" w:hAnsi="Times New Roman" w:cs="Times New Roman"/>
          <w:sz w:val="24"/>
          <w:szCs w:val="24"/>
        </w:rPr>
        <w:t>2</w:t>
      </w:r>
      <w:r>
        <w:rPr>
          <w:rFonts w:ascii="Times New Roman" w:hAnsi="Times New Roman" w:cs="Times New Roman"/>
          <w:sz w:val="24"/>
          <w:szCs w:val="24"/>
        </w:rPr>
        <w:t>名或</w:t>
      </w:r>
      <w:r>
        <w:rPr>
          <w:rFonts w:ascii="Times New Roman" w:hAnsi="Times New Roman" w:cs="Times New Roman"/>
          <w:sz w:val="24"/>
          <w:szCs w:val="24"/>
        </w:rPr>
        <w:t>2</w:t>
      </w:r>
      <w:r>
        <w:rPr>
          <w:rFonts w:ascii="Times New Roman" w:hAnsi="Times New Roman" w:cs="Times New Roman"/>
          <w:sz w:val="24"/>
          <w:szCs w:val="24"/>
        </w:rPr>
        <w:t>名以上中国注册会计师签字方为有效。</w:t>
      </w:r>
    </w:p>
    <w:p w14:paraId="795D6293"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w:t>
      </w:r>
      <w:proofErr w:type="gramStart"/>
      <w:r>
        <w:rPr>
          <w:rFonts w:ascii="Times New Roman" w:hAnsi="Times New Roman" w:cs="Times New Roman"/>
          <w:sz w:val="24"/>
          <w:szCs w:val="24"/>
        </w:rPr>
        <w:t>若基金</w:t>
      </w:r>
      <w:proofErr w:type="gramEnd"/>
      <w:r>
        <w:rPr>
          <w:rFonts w:ascii="Times New Roman" w:hAnsi="Times New Roman" w:cs="Times New Roman"/>
          <w:sz w:val="24"/>
          <w:szCs w:val="24"/>
        </w:rPr>
        <w:t>募集期限届满，未能达到基金合同生效的条件，由基金管理人按规定办理退款等事宜。</w:t>
      </w:r>
    </w:p>
    <w:p w14:paraId="0E9B92B2"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（三）基金托管专户的开立和管理</w:t>
      </w:r>
    </w:p>
    <w:p w14:paraId="015782B8"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．基金托管人以本基金的名义在其营业机构开设基金托管专户，保管基金的银行存款。本基金的一切货币收支活动，包括但不限于投资、支付赎回金额、支付基金收益、收取申购款，均需通过基金托管专户进行。</w:t>
      </w:r>
    </w:p>
    <w:p w14:paraId="153E8E56"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．基金托管专户的开立和使用，限于满足开展本基金业务的需要。基金托管人和基金管理人不得假借本基金的名义开立任何其他银行账户；亦不得使用基金的任何账户进行本基金业务以外的活动。</w:t>
      </w:r>
    </w:p>
    <w:p w14:paraId="1BE72348"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．基金托管专户的开立和管理应符合有关法律法规以及银行业监督管理机构的其他有关规定。</w:t>
      </w:r>
    </w:p>
    <w:p w14:paraId="0D413C51"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（四）基金证券账户和结算备付金账户的开立和管理</w:t>
      </w:r>
    </w:p>
    <w:p w14:paraId="1AB39F45"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．基金托管人在中国证券登记结算有限责任公司</w:t>
      </w:r>
      <w:r>
        <w:rPr>
          <w:rFonts w:ascii="Times New Roman" w:hAnsi="Times New Roman" w:cs="Times New Roman"/>
          <w:color w:val="000000"/>
          <w:sz w:val="24"/>
          <w:szCs w:val="24"/>
        </w:rPr>
        <w:t>（以下或称</w:t>
      </w:r>
      <w:r>
        <w:rPr>
          <w:rFonts w:ascii="Times New Roman" w:hAnsi="Times New Roman" w:cs="Times New Roman"/>
          <w:color w:val="000000"/>
          <w:sz w:val="24"/>
          <w:szCs w:val="24"/>
        </w:rPr>
        <w:t>“</w:t>
      </w:r>
      <w:r>
        <w:rPr>
          <w:rFonts w:ascii="Times New Roman" w:hAnsi="Times New Roman" w:cs="Times New Roman"/>
          <w:color w:val="000000"/>
          <w:sz w:val="24"/>
          <w:szCs w:val="24"/>
        </w:rPr>
        <w:t>中国结算</w:t>
      </w: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sz w:val="24"/>
          <w:szCs w:val="24"/>
        </w:rPr>
        <w:t>为基金开立基金托管人与本基金联名的证券账户。</w:t>
      </w:r>
    </w:p>
    <w:p w14:paraId="77F1DFDC"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525EF8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．基金证券账户的开立和证券账户卡的保管由基金托管人负责，账户资产的管理和运用由基金管理人负责。</w:t>
      </w:r>
    </w:p>
    <w:p w14:paraId="6B63B063"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基金托管人以基金托管人的名义在中国证券登记结算有限责任公司开立结算备付金账户，并代表本基金完成与中国证券登记结算有限责任公司的一级法人清算工作，基金管理人应予以积极协助。结算备付金、交收价差资金等的收取按照中国证券登记结算有限责任公司的规定执行。</w:t>
      </w:r>
    </w:p>
    <w:p w14:paraId="6A72C0B2"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．若中国证监会或其他监管机构在本托管协议订立日之后允许基金从事其他投资品种的投资业务，涉及相关账户的开立、使用的，若无相关规定，</w:t>
      </w:r>
      <w:proofErr w:type="gramStart"/>
      <w:r>
        <w:rPr>
          <w:rFonts w:ascii="Times New Roman" w:hAnsi="Times New Roman" w:cs="Times New Roman"/>
          <w:sz w:val="24"/>
          <w:szCs w:val="24"/>
        </w:rPr>
        <w:t>则基</w:t>
      </w:r>
      <w:r>
        <w:rPr>
          <w:rFonts w:ascii="Times New Roman" w:hAnsi="Times New Roman" w:cs="Times New Roman"/>
          <w:sz w:val="24"/>
          <w:szCs w:val="24"/>
        </w:rPr>
        <w:lastRenderedPageBreak/>
        <w:t>金</w:t>
      </w:r>
      <w:proofErr w:type="gramEnd"/>
      <w:r>
        <w:rPr>
          <w:rFonts w:ascii="Times New Roman" w:hAnsi="Times New Roman" w:cs="Times New Roman"/>
          <w:sz w:val="24"/>
          <w:szCs w:val="24"/>
        </w:rPr>
        <w:t>托管人比照上述关于账户开立、使用的规定执行。</w:t>
      </w:r>
    </w:p>
    <w:p w14:paraId="4F575AE2"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（五）银行间债券托管专户的开设和管理</w:t>
      </w:r>
    </w:p>
    <w:p w14:paraId="6546715B"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基金合同生效后，基金管理人负责以本基金的名义申请并取得进入全国银行间同业拆借市场的交易资格，并代表本基金进行交易；基金托管人负责以本基金的名义在中央国债登记结算有限责任公司</w:t>
      </w:r>
      <w:r>
        <w:rPr>
          <w:rFonts w:ascii="Times New Roman" w:hAnsi="Times New Roman" w:cs="Times New Roman" w:hint="eastAsia"/>
          <w:sz w:val="24"/>
          <w:szCs w:val="24"/>
        </w:rPr>
        <w:t>和银行间市场清算所股份有限公司</w:t>
      </w:r>
      <w:r>
        <w:rPr>
          <w:rFonts w:ascii="Times New Roman" w:hAnsi="Times New Roman" w:cs="Times New Roman"/>
          <w:sz w:val="24"/>
          <w:szCs w:val="24"/>
        </w:rPr>
        <w:t>开设银行间债券市场债券托管账户，并代表基金进行银行间市场债券的结算。</w:t>
      </w:r>
    </w:p>
    <w:p w14:paraId="5A77A76B"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（六）其他账户的开立和管理</w:t>
      </w:r>
    </w:p>
    <w:p w14:paraId="3B5E9B46"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37779962"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（七）基金财产投资的有关有价凭证等的保管</w:t>
      </w:r>
    </w:p>
    <w:p w14:paraId="02440CF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基金财产投资的有关实物证券等有价凭证由基金托管人存放于基金托管人的保管库，也可存入中央国债登记结算有限责任公司、</w:t>
      </w:r>
      <w:r>
        <w:rPr>
          <w:rFonts w:ascii="Times New Roman" w:hAnsi="Times New Roman" w:cs="Times New Roman" w:hint="eastAsia"/>
          <w:sz w:val="24"/>
          <w:szCs w:val="24"/>
        </w:rPr>
        <w:t>银行间市场清算所股份有限公司、</w:t>
      </w:r>
      <w:r>
        <w:rPr>
          <w:rFonts w:ascii="Times New Roman" w:hAnsi="Times New Roman" w:cs="Times New Roman"/>
          <w:sz w:val="24"/>
          <w:szCs w:val="24"/>
        </w:rPr>
        <w:t>中国证券登记结算有限责任公司或票据营业中心的代保管库，保管凭证由基金托管人持有。实物证券等有价凭证的购买和转让，由基金管理人和基金托管人共同办理。基金托管人对由基金托管人及基金托管人委托保管的机构以外机构实际有效控制的证券不承担保管责任。</w:t>
      </w:r>
    </w:p>
    <w:p w14:paraId="07B2E4DC"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（八）与基金财产有关的重大合同的保管</w:t>
      </w:r>
    </w:p>
    <w:p w14:paraId="75028012" w14:textId="77777777" w:rsidR="00BB7E47" w:rsidRDefault="005406F2">
      <w:pPr>
        <w:spacing w:afterLines="100" w:after="312" w:line="360" w:lineRule="auto"/>
        <w:ind w:firstLine="480"/>
        <w:jc w:val="left"/>
        <w:rPr>
          <w:rFonts w:ascii="Times New Roman" w:hAnsi="Times New Roman" w:cs="Times New Roman"/>
          <w:sz w:val="24"/>
          <w:szCs w:val="24"/>
        </w:rPr>
      </w:pPr>
      <w:r>
        <w:rPr>
          <w:rFonts w:ascii="Times New Roman" w:hAnsi="Times New Roman" w:cs="Times New Roman"/>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w:t>
      </w:r>
      <w:r>
        <w:rPr>
          <w:rFonts w:ascii="Times New Roman" w:hAnsi="Times New Roman" w:cs="Times New Roman" w:hint="eastAsia"/>
          <w:sz w:val="24"/>
          <w:szCs w:val="24"/>
        </w:rPr>
        <w:t>或电子邮件扫描</w:t>
      </w:r>
      <w:r>
        <w:rPr>
          <w:rFonts w:ascii="Times New Roman" w:hAnsi="Times New Roman" w:cs="Times New Roman"/>
          <w:sz w:val="24"/>
          <w:szCs w:val="24"/>
        </w:rPr>
        <w:t>给基金托管人，并在</w:t>
      </w:r>
      <w:r>
        <w:rPr>
          <w:rFonts w:ascii="Times New Roman" w:hAnsi="Times New Roman" w:cs="Times New Roman"/>
          <w:sz w:val="24"/>
          <w:szCs w:val="24"/>
        </w:rPr>
        <w:t>30</w:t>
      </w:r>
      <w:r>
        <w:rPr>
          <w:rFonts w:ascii="Times New Roman" w:hAnsi="Times New Roman" w:cs="Times New Roman"/>
          <w:sz w:val="24"/>
          <w:szCs w:val="24"/>
        </w:rPr>
        <w:t>个工作日内将正本送达基金托管人处。重大合</w:t>
      </w:r>
      <w:r>
        <w:rPr>
          <w:rFonts w:ascii="Times New Roman" w:hAnsi="Times New Roman" w:cs="Times New Roman"/>
          <w:sz w:val="24"/>
          <w:szCs w:val="24"/>
        </w:rPr>
        <w:lastRenderedPageBreak/>
        <w:t>同的保管期限不低于法律法规或监管机关规定的期限。</w:t>
      </w:r>
    </w:p>
    <w:p w14:paraId="7BF8338E" w14:textId="77777777" w:rsidR="00BB7E47" w:rsidRDefault="005406F2">
      <w:pPr>
        <w:pStyle w:val="1"/>
        <w:jc w:val="center"/>
        <w:rPr>
          <w:rFonts w:ascii="Times New Roman" w:hAnsi="Times New Roman" w:cs="Times New Roman"/>
        </w:rPr>
      </w:pPr>
      <w:r>
        <w:rPr>
          <w:rFonts w:ascii="Times New Roman" w:hAnsi="Times New Roman" w:cs="Times New Roman"/>
          <w:sz w:val="24"/>
          <w:szCs w:val="24"/>
        </w:rPr>
        <w:br w:type="page"/>
      </w:r>
      <w:bookmarkStart w:id="6" w:name="_Toc440289534"/>
      <w:r>
        <w:rPr>
          <w:rFonts w:ascii="Times New Roman" w:hAnsi="Times New Roman" w:cs="Times New Roman"/>
          <w:sz w:val="30"/>
          <w:szCs w:val="30"/>
        </w:rPr>
        <w:lastRenderedPageBreak/>
        <w:t>六、指令的发送、确认及执行</w:t>
      </w:r>
      <w:bookmarkEnd w:id="6"/>
    </w:p>
    <w:p w14:paraId="7BDEB768"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基金管理人在运用基金财产时向基金托管人发送资金划拨及其他款项付款指令，基金托管人执行基金管理人的指令、办理基金名下的资金往来等有关事项。</w:t>
      </w:r>
    </w:p>
    <w:p w14:paraId="2A2F157B"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（一）基金管理人对发送指令人员的书面授权</w:t>
      </w:r>
    </w:p>
    <w:p w14:paraId="6B57DD88"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．基金管理人应指定专人向基金托管人发送指令。</w:t>
      </w:r>
    </w:p>
    <w:p w14:paraId="24DAA00C"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．基金管理人应向基金托管人提供书面授权文件，内容包括被授权人名单、预留印鉴及被授权人签字样本，授权文件应注明被授权人相应的权限及授权时间。</w:t>
      </w:r>
    </w:p>
    <w:p w14:paraId="723AA6BA"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．基金托管人在收到授权文件原件并经基金管理人电话确认后，授权文件即生效。</w:t>
      </w:r>
    </w:p>
    <w:p w14:paraId="4F1B1A84"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．基金管理人和基金托管人对授权文件负有保密义务，其内容不得向被授权人及相关操作人员以外的任何人泄露。但法律法规规定或有权机关要求的除外。</w:t>
      </w:r>
    </w:p>
    <w:p w14:paraId="5DD517F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（二）指令的内容</w:t>
      </w:r>
    </w:p>
    <w:p w14:paraId="53061D2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．指令包括赎回、分红付款指令、回购到期付款指令、与投资有关的付款指令、实物债券出入库指令以及其他资金划拨指令等。</w:t>
      </w:r>
    </w:p>
    <w:p w14:paraId="2C9A2024"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．基金管理人发给基金托管人的指令应写明款项事由、支付时间、到账时间、金额、账户等，</w:t>
      </w:r>
      <w:r>
        <w:rPr>
          <w:rFonts w:ascii="Times New Roman" w:hAnsi="Times New Roman" w:cs="Times New Roman" w:hint="eastAsia"/>
          <w:sz w:val="24"/>
          <w:szCs w:val="24"/>
          <w:lang w:eastAsia="zh-Hans"/>
        </w:rPr>
        <w:t>纸质指令应</w:t>
      </w:r>
      <w:r>
        <w:rPr>
          <w:rFonts w:ascii="Times New Roman" w:hAnsi="Times New Roman" w:cs="Times New Roman"/>
          <w:sz w:val="24"/>
          <w:szCs w:val="24"/>
        </w:rPr>
        <w:t>加盖预留印鉴并由被授权人签字或盖章。</w:t>
      </w:r>
      <w:r>
        <w:rPr>
          <w:rFonts w:ascii="Times New Roman" w:hAnsi="Times New Roman" w:cs="Times New Roman" w:hint="eastAsia"/>
          <w:sz w:val="24"/>
          <w:szCs w:val="24"/>
        </w:rPr>
        <w:t>对深证通电子直连划款指令发送的指令应包括但不限于款项事由、支付时间、金额、账户等，基金托管人以收到电子指令为合</w:t>
      </w:r>
      <w:proofErr w:type="gramStart"/>
      <w:r>
        <w:rPr>
          <w:rFonts w:ascii="Times New Roman" w:hAnsi="Times New Roman" w:cs="Times New Roman" w:hint="eastAsia"/>
          <w:sz w:val="24"/>
          <w:szCs w:val="24"/>
        </w:rPr>
        <w:t>规</w:t>
      </w:r>
      <w:proofErr w:type="gramEnd"/>
      <w:r>
        <w:rPr>
          <w:rFonts w:ascii="Times New Roman" w:hAnsi="Times New Roman" w:cs="Times New Roman" w:hint="eastAsia"/>
          <w:sz w:val="24"/>
          <w:szCs w:val="24"/>
        </w:rPr>
        <w:t>有效指令。</w:t>
      </w:r>
    </w:p>
    <w:p w14:paraId="2FCFC1EC"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（三）指令的发送、确认及执行的时间和程序</w:t>
      </w:r>
    </w:p>
    <w:p w14:paraId="504F4117"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．指令的发送</w:t>
      </w:r>
    </w:p>
    <w:p w14:paraId="0B80FEB4" w14:textId="188CAA34"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基金管理人发送指令应采用</w:t>
      </w:r>
      <w:proofErr w:type="gramStart"/>
      <w:r>
        <w:rPr>
          <w:rFonts w:ascii="Times New Roman" w:hAnsi="Times New Roman" w:cs="Times New Roman"/>
          <w:sz w:val="24"/>
          <w:szCs w:val="24"/>
        </w:rPr>
        <w:t>深证通或</w:t>
      </w:r>
      <w:proofErr w:type="gramEnd"/>
      <w:r>
        <w:rPr>
          <w:rFonts w:ascii="Times New Roman" w:hAnsi="Times New Roman" w:cs="Times New Roman" w:hint="eastAsia"/>
          <w:sz w:val="24"/>
          <w:szCs w:val="24"/>
        </w:rPr>
        <w:t>电子邮件</w:t>
      </w:r>
      <w:r>
        <w:rPr>
          <w:rFonts w:ascii="Times New Roman" w:hAnsi="Times New Roman" w:cs="Times New Roman"/>
          <w:sz w:val="24"/>
          <w:szCs w:val="24"/>
        </w:rPr>
        <w:t>或传真的方式向资产托管人</w:t>
      </w:r>
      <w:r>
        <w:rPr>
          <w:rFonts w:ascii="Times New Roman" w:hAnsi="Times New Roman" w:cs="Times New Roman"/>
          <w:sz w:val="24"/>
          <w:szCs w:val="24"/>
        </w:rPr>
        <w:lastRenderedPageBreak/>
        <w:t>发送。</w:t>
      </w:r>
    </w:p>
    <w:p w14:paraId="6EB7EFB8"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14:paraId="217445C1"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指令发出后，基金管理人应及时以电话方式向基金托管人确认。</w:t>
      </w:r>
    </w:p>
    <w:p w14:paraId="04A4C3C6"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14:paraId="3FF7416C" w14:textId="676A3B58"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基金管理人在划款当日下达投资划款指令的，在发送指令时，应为基金托管人留出执行指令所必需的时间。基金管理人发送有效指令（包括原指令被撤销、变更后再次发送的新指令）的截止时间为当天的</w:t>
      </w:r>
      <w:r>
        <w:rPr>
          <w:rFonts w:ascii="Times New Roman" w:hAnsi="Times New Roman" w:cs="Times New Roman"/>
          <w:sz w:val="24"/>
          <w:szCs w:val="24"/>
        </w:rPr>
        <w:t>15:00</w:t>
      </w:r>
      <w:r>
        <w:rPr>
          <w:rFonts w:ascii="Times New Roman" w:hAnsi="Times New Roman" w:cs="Times New Roman"/>
          <w:sz w:val="24"/>
          <w:szCs w:val="24"/>
        </w:rPr>
        <w:t>。如基金管理人要求当天某一时点到账，则交易结算指令需提前</w:t>
      </w:r>
      <w:r>
        <w:rPr>
          <w:rFonts w:ascii="Times New Roman" w:hAnsi="Times New Roman" w:cs="Times New Roman"/>
          <w:sz w:val="24"/>
          <w:szCs w:val="24"/>
        </w:rPr>
        <w:t>2</w:t>
      </w:r>
      <w:r>
        <w:rPr>
          <w:rFonts w:ascii="Times New Roman" w:hAnsi="Times New Roman" w:cs="Times New Roman"/>
          <w:sz w:val="24"/>
          <w:szCs w:val="24"/>
        </w:rPr>
        <w:t>个工作小时发送，并进行电话确认。指令传输不及时、未能留出足够的划款时间，致使资金未能及时到账所造成的损失由基金管理人承担。</w:t>
      </w:r>
    </w:p>
    <w:p w14:paraId="0B959272"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．指令的确认</w:t>
      </w:r>
    </w:p>
    <w:p w14:paraId="041FDA76"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14:paraId="550C9970"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．指令的时间和执行</w:t>
      </w:r>
    </w:p>
    <w:p w14:paraId="5F673CD8" w14:textId="77777777" w:rsidR="00BB7E47" w:rsidRDefault="005406F2">
      <w:pPr>
        <w:spacing w:after="0"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基金托管人对指令验证通过后，应及时办理。指令执行完毕后，基金托管人需要通过双方约定的方式向管理人提供查询指令执行结果查询服务。</w:t>
      </w:r>
    </w:p>
    <w:p w14:paraId="16961E89"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基金管理人向基金托管人下达指令时，应确保基金资金账户有足够的资金</w:t>
      </w:r>
      <w:r>
        <w:rPr>
          <w:rFonts w:ascii="Times New Roman" w:hAnsi="Times New Roman" w:cs="Times New Roman"/>
          <w:sz w:val="24"/>
          <w:szCs w:val="24"/>
        </w:rPr>
        <w:lastRenderedPageBreak/>
        <w:t>余额，对基金管理人在没有充足资金的情况下向基金托管人发出的投资指令、赎回、分红资金等的划拨指令，基金托管人可不予执行，但应立即通知基金管理人，由基金管理人审核、查明原因，出具书面文件确认此交易指令无效。基金托管人不承担因未执行该指令造成损失的责任。</w:t>
      </w:r>
    </w:p>
    <w:p w14:paraId="181E2F1C"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（四）基金管理人发送错误指令的情形和处理程序</w:t>
      </w:r>
    </w:p>
    <w:p w14:paraId="590207A2"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基金管理人发送错误指令的情形包括指令违反法律法规和基金合同，指令发送人员无权或超越权限发送指令。</w:t>
      </w:r>
    </w:p>
    <w:p w14:paraId="3DEBB01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基金托管人在履行监督职能时，发现基金管理人的指令错误时，有权拒绝执行，并</w:t>
      </w:r>
      <w:r>
        <w:rPr>
          <w:rFonts w:ascii="Times New Roman" w:hAnsi="Times New Roman" w:cs="Times New Roman" w:hint="eastAsia"/>
          <w:sz w:val="24"/>
          <w:szCs w:val="24"/>
        </w:rPr>
        <w:t>应当</w:t>
      </w:r>
      <w:r>
        <w:rPr>
          <w:rFonts w:ascii="Times New Roman" w:hAnsi="Times New Roman" w:cs="Times New Roman"/>
          <w:sz w:val="24"/>
          <w:szCs w:val="24"/>
        </w:rPr>
        <w:t>及时通知基金管理人改正。如需撤销指令，基金管理人应出具书面说明，并加盖业务用章。</w:t>
      </w:r>
    </w:p>
    <w:p w14:paraId="15D00F58"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（五）基金托管人依照法律法规暂缓、拒绝执行指令的情形和处理程序</w:t>
      </w:r>
    </w:p>
    <w:p w14:paraId="69E96F65" w14:textId="77777777" w:rsidR="00BB7E47" w:rsidRDefault="005406F2">
      <w:pPr>
        <w:spacing w:line="360" w:lineRule="auto"/>
        <w:ind w:firstLine="480"/>
        <w:rPr>
          <w:rFonts w:ascii="Times New Roman" w:hAnsi="Times New Roman" w:cs="Times New Roman"/>
          <w:sz w:val="24"/>
          <w:szCs w:val="24"/>
        </w:rPr>
      </w:pPr>
      <w:proofErr w:type="gramStart"/>
      <w:r>
        <w:rPr>
          <w:rFonts w:ascii="Times New Roman" w:hAnsi="Times New Roman" w:cs="Times New Roman"/>
          <w:sz w:val="24"/>
          <w:szCs w:val="24"/>
        </w:rPr>
        <w:t>若基金</w:t>
      </w:r>
      <w:proofErr w:type="gramEnd"/>
      <w:r>
        <w:rPr>
          <w:rFonts w:ascii="Times New Roman" w:hAnsi="Times New Roman" w:cs="Times New Roman"/>
          <w:sz w:val="24"/>
          <w:szCs w:val="24"/>
        </w:rPr>
        <w:t>托管人发现基金管理人的指令违反法律法规，或者违反基金合同约定的，应当暂缓、拒绝执行，并立即通知基金管理人。</w:t>
      </w:r>
    </w:p>
    <w:p w14:paraId="3B635A05"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（六）基金托管人未按照基金管理人指令执行的处理方法</w:t>
      </w:r>
    </w:p>
    <w:p w14:paraId="6D8153F8"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基金托管人由于自身原因，未按照基金管理人发送的符合法律法规、基金合同、本协议的指令执行并对基金财产或投资人造成的损失，由基金托管人承担相应的责任。</w:t>
      </w:r>
    </w:p>
    <w:p w14:paraId="157F4F5A"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（七）更换被授权人员的程序</w:t>
      </w:r>
    </w:p>
    <w:p w14:paraId="5013E5B8" w14:textId="797AC600"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基金管理人更换被授权人、更改或终止对被授权人的授权，应当至少提前一个工作日书面通知基金托管人，同时基金管理人向基金托管人提供新的被授权人的姓名、权限、预留印鉴和签字样本。</w:t>
      </w:r>
      <w:r>
        <w:rPr>
          <w:rFonts w:ascii="Times New Roman" w:hAnsi="Times New Roman" w:cs="Times New Roman" w:hint="eastAsia"/>
          <w:sz w:val="24"/>
          <w:szCs w:val="24"/>
        </w:rPr>
        <w:t>变更授权通知文件在基金托管人收到相关文件扫描件和基金管理人的电话确认时生效。基金管理人在此后三个工作日内将变更授权通知文件原件送交基金托管人。若原件与扫描件不一致，以基金托管人收到的扫描件为准。</w:t>
      </w:r>
      <w:r>
        <w:rPr>
          <w:rFonts w:ascii="Times New Roman" w:hAnsi="Times New Roman" w:cs="Times New Roman"/>
          <w:sz w:val="24"/>
          <w:szCs w:val="24"/>
        </w:rPr>
        <w:t>被授权人变更通知生效前，基金托管人仍应按原约定执行指令，基金管理人不得否认其效力。</w:t>
      </w:r>
    </w:p>
    <w:p w14:paraId="26609C43"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lastRenderedPageBreak/>
        <w:t>基金托管人更换接受基金管理人指令的人员，应提前书面通知基金管理人。</w:t>
      </w:r>
    </w:p>
    <w:p w14:paraId="635776B4"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（八）其他事项</w:t>
      </w:r>
    </w:p>
    <w:p w14:paraId="2D71B25B" w14:textId="004C5A4F"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基金托管人在接收指令时，应对指令的要素是否齐全、印鉴与被授权人是否与预留的授权文件内容相符进行检查，如发现问题，应及时报告基金管理人。</w:t>
      </w:r>
      <w:r>
        <w:rPr>
          <w:rFonts w:ascii="Times New Roman" w:hAnsi="Times New Roman" w:cs="Times New Roman" w:hint="eastAsia"/>
          <w:sz w:val="24"/>
          <w:szCs w:val="24"/>
        </w:rPr>
        <w:t>如果基金管理人的指令存在事实上未经授权、欺诈、伪造或未能及时提供授权通知等情形，基金托管人不承担因执行有关指令或</w:t>
      </w:r>
      <w:r w:rsidR="00EA6832">
        <w:rPr>
          <w:rFonts w:ascii="Times New Roman" w:hAnsi="Times New Roman" w:cs="Times New Roman" w:hint="eastAsia"/>
          <w:sz w:val="24"/>
          <w:szCs w:val="24"/>
        </w:rPr>
        <w:t>因未及时提供授权</w:t>
      </w:r>
      <w:r>
        <w:rPr>
          <w:rFonts w:ascii="Times New Roman" w:hAnsi="Times New Roman" w:cs="Times New Roman" w:hint="eastAsia"/>
          <w:sz w:val="24"/>
          <w:szCs w:val="24"/>
        </w:rPr>
        <w:t>拒绝执行有关指令而给基金管理人或基金资产或任何第三</w:t>
      </w:r>
      <w:proofErr w:type="gramStart"/>
      <w:r>
        <w:rPr>
          <w:rFonts w:ascii="Times New Roman" w:hAnsi="Times New Roman" w:cs="Times New Roman" w:hint="eastAsia"/>
          <w:sz w:val="24"/>
          <w:szCs w:val="24"/>
        </w:rPr>
        <w:t>方带来</w:t>
      </w:r>
      <w:proofErr w:type="gramEnd"/>
      <w:r>
        <w:rPr>
          <w:rFonts w:ascii="Times New Roman" w:hAnsi="Times New Roman" w:cs="Times New Roman" w:hint="eastAsia"/>
          <w:sz w:val="24"/>
          <w:szCs w:val="24"/>
        </w:rPr>
        <w:t>的损失。</w:t>
      </w:r>
      <w:r>
        <w:rPr>
          <w:rFonts w:ascii="Times New Roman" w:hAnsi="Times New Roman" w:cs="Times New Roman"/>
          <w:sz w:val="24"/>
          <w:szCs w:val="24"/>
        </w:rPr>
        <w:t>基金托管人对执行基金管理人的合法指令对基金财产造成的损失不承担赔偿责任；基金托管人无正当理由未执行或未及时执行基金管理人的合法指令，导致基金财产</w:t>
      </w:r>
      <w:r>
        <w:rPr>
          <w:rFonts w:ascii="Times New Roman" w:hAnsi="Times New Roman" w:cs="Times New Roman"/>
          <w:color w:val="000000"/>
          <w:sz w:val="24"/>
          <w:szCs w:val="24"/>
        </w:rPr>
        <w:t>或基金管理人</w:t>
      </w:r>
      <w:r>
        <w:rPr>
          <w:rFonts w:ascii="Times New Roman" w:hAnsi="Times New Roman" w:cs="Times New Roman"/>
          <w:sz w:val="24"/>
          <w:szCs w:val="24"/>
        </w:rPr>
        <w:t>遭受损失的，由基金托管人赔偿由此造成的直接损失。</w:t>
      </w:r>
    </w:p>
    <w:p w14:paraId="7DD41429" w14:textId="77777777" w:rsidR="00BB7E47" w:rsidRDefault="005406F2">
      <w:pPr>
        <w:spacing w:afterLines="100" w:after="312" w:line="360" w:lineRule="auto"/>
        <w:jc w:val="center"/>
        <w:outlineLvl w:val="0"/>
        <w:rPr>
          <w:rFonts w:ascii="Times New Roman" w:hAnsi="Times New Roman" w:cs="Times New Roman"/>
        </w:rPr>
      </w:pPr>
      <w:r>
        <w:rPr>
          <w:rFonts w:ascii="Times New Roman" w:hAnsi="Times New Roman" w:cs="Times New Roman"/>
          <w:sz w:val="24"/>
          <w:szCs w:val="24"/>
        </w:rPr>
        <w:br w:type="page"/>
      </w:r>
      <w:bookmarkStart w:id="7" w:name="_Toc440289535"/>
      <w:r>
        <w:rPr>
          <w:rFonts w:ascii="Times New Roman" w:hAnsi="Times New Roman" w:cs="Times New Roman"/>
          <w:b/>
          <w:sz w:val="30"/>
          <w:szCs w:val="30"/>
        </w:rPr>
        <w:lastRenderedPageBreak/>
        <w:t>七、交易及清算交收安排</w:t>
      </w:r>
      <w:bookmarkEnd w:id="7"/>
    </w:p>
    <w:p w14:paraId="4C16778F"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（一）选择代理证券买卖的证券经营机构</w:t>
      </w:r>
    </w:p>
    <w:p w14:paraId="14F57CCC" w14:textId="1CA60F89"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应设计选择代理证券买卖的证券经营机构的标准和程序。基金管理人负责选择证券经营机构，租用其交易单元作为基金的交易单元。基金管理人和被选中的证券经营机构签订委托协议，基金管理人应提前通知基金托管人，并将委托协议及时发送基金托管人，确保基金托管人申请接收结算数据。基金管理人应根据有关规定，在基金的中期报告和年度报告中将所选证券经营机构的有关情况、基金通过该证券经营机构买卖证券的成交量、回购成交量和支付的佣金等予以披露。</w:t>
      </w:r>
      <w:r>
        <w:rPr>
          <w:rFonts w:ascii="Times New Roman" w:hAnsi="Times New Roman" w:cs="Times New Roman" w:hint="eastAsia"/>
          <w:sz w:val="24"/>
          <w:szCs w:val="24"/>
        </w:rPr>
        <w:t>基金管理人应</w:t>
      </w:r>
      <w:r>
        <w:rPr>
          <w:rFonts w:ascii="Times New Roman" w:hAnsi="Times New Roman" w:cs="Times New Roman"/>
          <w:sz w:val="24"/>
          <w:szCs w:val="24"/>
        </w:rPr>
        <w:t>将基金交易单元变更情况及时以书面形式通知基金托管人。</w:t>
      </w:r>
    </w:p>
    <w:p w14:paraId="28C15B67" w14:textId="29AEC506" w:rsidR="00BB7E47" w:rsidRDefault="005406F2">
      <w:pPr>
        <w:numPr>
          <w:ilvl w:val="0"/>
          <w:numId w:val="1"/>
        </w:num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基金投资证券后的清算交收安排</w:t>
      </w:r>
    </w:p>
    <w:p w14:paraId="1CDC483A" w14:textId="77777777" w:rsidR="00BB7E47" w:rsidRDefault="005406F2">
      <w:pPr>
        <w:numPr>
          <w:ilvl w:val="255"/>
          <w:numId w:val="0"/>
        </w:num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基金管理人与基金托管人应根据有关法律法规及相关业务规则，签订《托管银行证券资金结算协议》和《证券交易资金前端风险控制协议》，用以具体明确管理人与托管人在证券交易资金结算业务中的程序与责任。</w:t>
      </w:r>
    </w:p>
    <w:p w14:paraId="49CB8953"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．清算与交割</w:t>
      </w:r>
    </w:p>
    <w:p w14:paraId="20600E18" w14:textId="363E9E1A" w:rsidR="00BB7E47" w:rsidRDefault="005406F2">
      <w:pPr>
        <w:pStyle w:val="21"/>
        <w:ind w:firstLine="480"/>
        <w:rPr>
          <w:rFonts w:cs="Times New Roman"/>
        </w:rPr>
      </w:pPr>
      <w:r>
        <w:rPr>
          <w:rFonts w:cs="Times New Roman"/>
        </w:rPr>
        <w:t>根据《中国证券登记结算有限责任公司结算备付金管理办法》，在每月前</w:t>
      </w:r>
      <w:r>
        <w:rPr>
          <w:rFonts w:cs="Times New Roman"/>
        </w:rPr>
        <w:t>6</w:t>
      </w:r>
      <w:r>
        <w:rPr>
          <w:rFonts w:cs="Times New Roman"/>
        </w:rPr>
        <w:t>个工作日内，中国证券登记结算有限责任公司对结算参与人的最低结算备付金限额进行重新核算、调整。托管人在中国证券登记结算有限责任公司调整最低结算备付金当日，在资金</w:t>
      </w:r>
      <w:r>
        <w:rPr>
          <w:rFonts w:cs="Times New Roman" w:hint="eastAsia"/>
        </w:rPr>
        <w:t>调节</w:t>
      </w:r>
      <w:r>
        <w:rPr>
          <w:rFonts w:cs="Times New Roman"/>
        </w:rPr>
        <w:t>表中反映最低备付金调整的情况。管理人应预留最低备付金，并根据中国证券登记结算有限责任公司确定的实际下月最低备付金数据为依据安排资金运作，调整所需的现金头寸。</w:t>
      </w:r>
    </w:p>
    <w:p w14:paraId="20097980" w14:textId="1B441879" w:rsidR="00BB7E47" w:rsidRDefault="005406F2">
      <w:pPr>
        <w:pStyle w:val="21"/>
        <w:ind w:firstLine="480"/>
        <w:rPr>
          <w:rFonts w:cs="Times New Roman"/>
        </w:rPr>
      </w:pPr>
      <w:r>
        <w:rPr>
          <w:rFonts w:cs="Times New Roman"/>
        </w:rPr>
        <w:t>根据《中国证券登记结算有限责任公司证券结算保证金管理办法》，在每月前</w:t>
      </w:r>
      <w:r>
        <w:rPr>
          <w:rFonts w:cs="Times New Roman"/>
        </w:rPr>
        <w:t>2</w:t>
      </w:r>
      <w:r>
        <w:rPr>
          <w:rFonts w:cs="Times New Roman"/>
        </w:rPr>
        <w:t>个工作日内，中国证券登记结算有限责任公司对结算参与人的结算保证金进行调整，基金托管人在调整当日，在资金</w:t>
      </w:r>
      <w:r>
        <w:rPr>
          <w:rFonts w:cs="Times New Roman" w:hint="eastAsia"/>
        </w:rPr>
        <w:t>调节</w:t>
      </w:r>
      <w:r>
        <w:rPr>
          <w:rFonts w:cs="Times New Roman"/>
        </w:rPr>
        <w:t>表中反映结算保证金的调整情况，基金管理人应预留足够头寸。</w:t>
      </w:r>
    </w:p>
    <w:p w14:paraId="2686E19E"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lastRenderedPageBreak/>
        <w:t>基金托管人负责基金买卖证券的清算交收。场内资金结算由基金托管人根据中国证券登记结算有限责任公司结算数据办理；场外资金汇划由基金托管人根据基金管理人的交易划款指令具体办理。</w:t>
      </w:r>
    </w:p>
    <w:p w14:paraId="1F8A3421"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如果因为基金托管人自身原因在清算上造成基金财产的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等原因造成基金投资清算困难和风险的，基金托管人发现后应立即通知基金管理人，由基金管理人负责解决。</w:t>
      </w:r>
      <w:r>
        <w:rPr>
          <w:rFonts w:ascii="Times New Roman" w:hAnsi="Times New Roman" w:cs="Times New Roman"/>
          <w:sz w:val="24"/>
        </w:rPr>
        <w:t>基金管理人应在</w:t>
      </w:r>
      <w:r>
        <w:rPr>
          <w:rFonts w:ascii="Times New Roman" w:hAnsi="Times New Roman" w:cs="Times New Roman"/>
          <w:sz w:val="24"/>
        </w:rPr>
        <w:t>T</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日中登公司规定的清算时间</w:t>
      </w:r>
      <w:r>
        <w:rPr>
          <w:rFonts w:ascii="Times New Roman" w:hAnsi="Times New Roman" w:cs="Times New Roman"/>
          <w:sz w:val="24"/>
        </w:rPr>
        <w:t>11:00</w:t>
      </w:r>
      <w:r>
        <w:rPr>
          <w:rFonts w:ascii="Times New Roman" w:hAnsi="Times New Roman" w:cs="Times New Roman"/>
          <w:sz w:val="24"/>
        </w:rPr>
        <w:t>之前将透支款及时划入该基金财产托管账户，并及时补足欠库券。在完成交割清算后，基金托管人根据基金管理人的指令，在不损害本基金财产利益的前提下将基金管理人垫支的透支款或欠库券取回并退回基金管理人，</w:t>
      </w:r>
      <w:r>
        <w:rPr>
          <w:rFonts w:ascii="Times New Roman" w:hAnsi="Times New Roman" w:cs="Times New Roman"/>
          <w:sz w:val="24"/>
          <w:szCs w:val="24"/>
        </w:rPr>
        <w:t>由此给基金托管人、本基金造成的直接损失由基金管理人承担。</w:t>
      </w:r>
    </w:p>
    <w:p w14:paraId="13FEA5A4"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基金管理人应采取合理措施，确保在</w:t>
      </w:r>
      <w:r>
        <w:rPr>
          <w:rFonts w:ascii="Times New Roman" w:hAnsi="Times New Roman" w:cs="Times New Roman"/>
          <w:sz w:val="24"/>
          <w:szCs w:val="24"/>
        </w:rPr>
        <w:t>T</w:t>
      </w:r>
      <w:r>
        <w:rPr>
          <w:rFonts w:ascii="Times New Roman" w:hAnsi="Times New Roman" w:cs="Times New Roman"/>
          <w:sz w:val="24"/>
          <w:szCs w:val="24"/>
        </w:rPr>
        <w:t>日日终有足够的资金头寸用于</w:t>
      </w:r>
      <w:r>
        <w:rPr>
          <w:rFonts w:ascii="Times New Roman" w:hAnsi="Times New Roman" w:cs="Times New Roman"/>
          <w:sz w:val="24"/>
          <w:szCs w:val="24"/>
        </w:rPr>
        <w:t>T</w:t>
      </w: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日中国证券登记结算有限责任公司的资金结算。若由于管理人的原因导致托管人交收失败，由此引起的后果由管理人承担。若结算机构的交收规则发生变化，托管人和管理人应根据新的交收规则</w:t>
      </w:r>
      <w:proofErr w:type="gramStart"/>
      <w:r>
        <w:rPr>
          <w:rFonts w:ascii="Times New Roman" w:hAnsi="Times New Roman" w:cs="Times New Roman"/>
          <w:sz w:val="24"/>
          <w:szCs w:val="24"/>
        </w:rPr>
        <w:t>作出</w:t>
      </w:r>
      <w:proofErr w:type="gramEnd"/>
      <w:r>
        <w:rPr>
          <w:rFonts w:ascii="Times New Roman" w:hAnsi="Times New Roman" w:cs="Times New Roman"/>
          <w:sz w:val="24"/>
          <w:szCs w:val="24"/>
        </w:rPr>
        <w:t>相应变动，管理人应配合托管人为完成交</w:t>
      </w:r>
      <w:proofErr w:type="gramStart"/>
      <w:r>
        <w:rPr>
          <w:rFonts w:ascii="Times New Roman" w:hAnsi="Times New Roman" w:cs="Times New Roman"/>
          <w:sz w:val="24"/>
          <w:szCs w:val="24"/>
        </w:rPr>
        <w:t>收提供</w:t>
      </w:r>
      <w:proofErr w:type="gramEnd"/>
      <w:r>
        <w:rPr>
          <w:rFonts w:ascii="Times New Roman" w:hAnsi="Times New Roman" w:cs="Times New Roman"/>
          <w:sz w:val="24"/>
          <w:szCs w:val="24"/>
        </w:rPr>
        <w:t>必要的帮助。</w:t>
      </w:r>
    </w:p>
    <w:p w14:paraId="2B253B47"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非担保交收业务的交易告知。上海非担保交收业务是指中国结算上海分公司组织交易双方根据业务规则规定或双方约定的结算模式完成交收，中国结算不作为双方的共同对手方，不提供交收担保。为确保非担保交收业务的正常交收，基金管理人应于交易当日及时将该交易书面告知托管人并进行电话确认。其中通过深圳综合协议平台达成的公司债转让交易告知时间为申报当日</w:t>
      </w:r>
      <w:r>
        <w:rPr>
          <w:rFonts w:ascii="Times New Roman" w:hAnsi="Times New Roman" w:cs="Times New Roman"/>
          <w:sz w:val="24"/>
          <w:szCs w:val="24"/>
        </w:rPr>
        <w:t>15:00</w:t>
      </w:r>
      <w:r>
        <w:rPr>
          <w:rFonts w:ascii="Times New Roman" w:hAnsi="Times New Roman" w:cs="Times New Roman"/>
          <w:sz w:val="24"/>
          <w:szCs w:val="24"/>
        </w:rPr>
        <w:t>；其余产品非担保交易告知截止时点为交易当日</w:t>
      </w:r>
      <w:r>
        <w:rPr>
          <w:rFonts w:ascii="Times New Roman" w:hAnsi="Times New Roman" w:cs="Times New Roman"/>
          <w:sz w:val="24"/>
          <w:szCs w:val="24"/>
        </w:rPr>
        <w:t>16:30</w:t>
      </w:r>
      <w:r>
        <w:rPr>
          <w:rFonts w:ascii="Times New Roman" w:hAnsi="Times New Roman" w:cs="Times New Roman"/>
          <w:sz w:val="24"/>
          <w:szCs w:val="24"/>
        </w:rPr>
        <w:t>。</w:t>
      </w:r>
    </w:p>
    <w:p w14:paraId="4E5FDD32" w14:textId="1E6BA94F"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由于通过深圳综合协议平台的公司债，结算方式为逐笔</w:t>
      </w:r>
      <w:proofErr w:type="gramStart"/>
      <w:r>
        <w:rPr>
          <w:rFonts w:ascii="Times New Roman" w:hAnsi="Times New Roman" w:cs="Times New Roman"/>
          <w:sz w:val="24"/>
          <w:szCs w:val="24"/>
        </w:rPr>
        <w:t>全额非</w:t>
      </w:r>
      <w:proofErr w:type="gramEnd"/>
      <w:r>
        <w:rPr>
          <w:rFonts w:ascii="Times New Roman" w:hAnsi="Times New Roman" w:cs="Times New Roman"/>
          <w:sz w:val="24"/>
          <w:szCs w:val="24"/>
        </w:rPr>
        <w:t>担保交收，最终交易确认时点为</w:t>
      </w:r>
      <w:r>
        <w:rPr>
          <w:rFonts w:ascii="Times New Roman" w:hAnsi="Times New Roman" w:cs="Times New Roman"/>
          <w:sz w:val="24"/>
          <w:szCs w:val="24"/>
        </w:rPr>
        <w:t>T</w:t>
      </w:r>
      <w:r>
        <w:rPr>
          <w:rFonts w:ascii="Times New Roman" w:hAnsi="Times New Roman" w:cs="Times New Roman"/>
          <w:sz w:val="24"/>
          <w:szCs w:val="24"/>
        </w:rPr>
        <w:t>日</w:t>
      </w:r>
      <w:r>
        <w:rPr>
          <w:rFonts w:ascii="Times New Roman" w:hAnsi="Times New Roman" w:cs="Times New Roman"/>
          <w:sz w:val="24"/>
          <w:szCs w:val="24"/>
        </w:rPr>
        <w:t>15:50</w:t>
      </w:r>
      <w:r>
        <w:rPr>
          <w:rFonts w:ascii="Times New Roman" w:hAnsi="Times New Roman" w:cs="Times New Roman"/>
          <w:sz w:val="24"/>
          <w:szCs w:val="24"/>
        </w:rPr>
        <w:t>，因此基金管理人应于</w:t>
      </w:r>
      <w:r>
        <w:rPr>
          <w:rFonts w:ascii="Times New Roman" w:hAnsi="Times New Roman" w:cs="Times New Roman"/>
          <w:sz w:val="24"/>
          <w:szCs w:val="24"/>
        </w:rPr>
        <w:t>T</w:t>
      </w:r>
      <w:r>
        <w:rPr>
          <w:rFonts w:ascii="Times New Roman" w:hAnsi="Times New Roman" w:cs="Times New Roman"/>
          <w:sz w:val="24"/>
          <w:szCs w:val="24"/>
        </w:rPr>
        <w:t>日</w:t>
      </w:r>
      <w:r>
        <w:rPr>
          <w:rFonts w:ascii="Times New Roman" w:hAnsi="Times New Roman" w:cs="Times New Roman"/>
          <w:sz w:val="24"/>
          <w:szCs w:val="24"/>
        </w:rPr>
        <w:t>15:</w:t>
      </w:r>
      <w:r w:rsidR="00EC4361">
        <w:rPr>
          <w:rFonts w:ascii="Times New Roman" w:hAnsi="Times New Roman" w:cs="Times New Roman"/>
          <w:sz w:val="24"/>
          <w:szCs w:val="24"/>
        </w:rPr>
        <w:t>3</w:t>
      </w:r>
      <w:r>
        <w:rPr>
          <w:rFonts w:ascii="Times New Roman" w:hAnsi="Times New Roman" w:cs="Times New Roman"/>
          <w:sz w:val="24"/>
          <w:szCs w:val="24"/>
        </w:rPr>
        <w:t>0</w:t>
      </w:r>
      <w:r>
        <w:rPr>
          <w:rFonts w:ascii="Times New Roman" w:hAnsi="Times New Roman" w:cs="Times New Roman"/>
          <w:sz w:val="24"/>
          <w:szCs w:val="24"/>
        </w:rPr>
        <w:t>之前向托管人</w:t>
      </w:r>
      <w:proofErr w:type="gramStart"/>
      <w:r>
        <w:rPr>
          <w:rFonts w:ascii="Times New Roman" w:hAnsi="Times New Roman" w:cs="Times New Roman"/>
          <w:sz w:val="24"/>
          <w:szCs w:val="24"/>
        </w:rPr>
        <w:t>发送非</w:t>
      </w:r>
      <w:proofErr w:type="gramEnd"/>
      <w:r>
        <w:rPr>
          <w:rFonts w:ascii="Times New Roman" w:hAnsi="Times New Roman" w:cs="Times New Roman"/>
          <w:sz w:val="24"/>
          <w:szCs w:val="24"/>
        </w:rPr>
        <w:t>担保交收债券的买入指令。</w:t>
      </w:r>
    </w:p>
    <w:p w14:paraId="4EB5AF2A" w14:textId="234AFCE4"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lastRenderedPageBreak/>
        <w:t>基金管理人应保证基金托管人在执行基金管理人发送的划款指令时，基金托管专户或资金交收账户（</w:t>
      </w:r>
      <w:proofErr w:type="gramStart"/>
      <w:r>
        <w:rPr>
          <w:rFonts w:ascii="Times New Roman" w:hAnsi="Times New Roman" w:cs="Times New Roman"/>
          <w:sz w:val="24"/>
          <w:szCs w:val="24"/>
        </w:rPr>
        <w:t>除登记公司收保或</w:t>
      </w:r>
      <w:proofErr w:type="gramEnd"/>
      <w:r>
        <w:rPr>
          <w:rFonts w:ascii="Times New Roman" w:hAnsi="Times New Roman" w:cs="Times New Roman"/>
          <w:sz w:val="24"/>
          <w:szCs w:val="24"/>
        </w:rPr>
        <w:t>冻结资金外）上有充足的资金。基金的资金头寸不足时，基金托管人有权拒绝基金管理人发送的划款指令。基金管理人在发送划款指令时应充分考虑基金托管人的划款处理时间。在基金资金头寸充足的情况下，基金托管人对基金管理人符合法律法规、基金合同、本协议的指令不得拖延或拒绝执行。</w:t>
      </w:r>
    </w:p>
    <w:p w14:paraId="2B0DBC98"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．交易记录、资金和证券账目核对的时间和方式</w:t>
      </w:r>
    </w:p>
    <w:p w14:paraId="4908E0FE"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）交易记录的核对</w:t>
      </w:r>
    </w:p>
    <w:p w14:paraId="74AC5EF1"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与基金托管人按日进行交易记录的核对。对外披露净值之前，必须保证所有实际交易记录与基金会计账簿上的交易记录完全一致。如果实际交易记录与会计账簿记录不一致，造成基金会计核算不完整或不真实，由此导致的损失由责任方承担。</w:t>
      </w:r>
    </w:p>
    <w:p w14:paraId="13C32842"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）资金账目的核对</w:t>
      </w:r>
    </w:p>
    <w:p w14:paraId="40EC243F"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资金账目按日核实。</w:t>
      </w:r>
    </w:p>
    <w:p w14:paraId="3E376E89"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）证券账目的核对</w:t>
      </w:r>
    </w:p>
    <w:p w14:paraId="6F985BF4" w14:textId="0ED46B5B"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基金管理人和基金托管人每交易日结束后核对基金证券账目，确保双方账目相符。</w:t>
      </w:r>
    </w:p>
    <w:p w14:paraId="430C85D8"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（三）基金申购和赎回业务处理的基本规定</w:t>
      </w:r>
    </w:p>
    <w:p w14:paraId="52778004"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．基金份额申购、赎回的确认、清算由基金管理人或其委托的登记机构负责。</w:t>
      </w:r>
    </w:p>
    <w:p w14:paraId="4D76FD68"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8E46475"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．基金管理人应保证本基金的登记机构每个工作日</w:t>
      </w:r>
      <w:r>
        <w:rPr>
          <w:rFonts w:ascii="Times New Roman" w:hAnsi="Times New Roman" w:cs="Times New Roman"/>
          <w:sz w:val="24"/>
          <w:szCs w:val="24"/>
        </w:rPr>
        <w:t>15:00</w:t>
      </w:r>
      <w:r>
        <w:rPr>
          <w:rFonts w:ascii="Times New Roman" w:hAnsi="Times New Roman" w:cs="Times New Roman"/>
          <w:sz w:val="24"/>
          <w:szCs w:val="24"/>
        </w:rPr>
        <w:t>前向基金托管人</w:t>
      </w:r>
      <w:r>
        <w:rPr>
          <w:rFonts w:ascii="Times New Roman" w:hAnsi="Times New Roman" w:cs="Times New Roman"/>
          <w:sz w:val="24"/>
          <w:szCs w:val="24"/>
        </w:rPr>
        <w:lastRenderedPageBreak/>
        <w:t>发送前一开放</w:t>
      </w:r>
      <w:proofErr w:type="gramStart"/>
      <w:r>
        <w:rPr>
          <w:rFonts w:ascii="Times New Roman" w:hAnsi="Times New Roman" w:cs="Times New Roman"/>
          <w:sz w:val="24"/>
          <w:szCs w:val="24"/>
        </w:rPr>
        <w:t>日上述</w:t>
      </w:r>
      <w:proofErr w:type="gramEnd"/>
      <w:r>
        <w:rPr>
          <w:rFonts w:ascii="Times New Roman" w:hAnsi="Times New Roman" w:cs="Times New Roman"/>
          <w:sz w:val="24"/>
          <w:szCs w:val="24"/>
        </w:rPr>
        <w:t>有关数据，并保证相关数据的准确、完整。</w:t>
      </w:r>
    </w:p>
    <w:p w14:paraId="1CEEC901"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基金管理人或其委托登记机构应通过与基金托管人建立的数据传输系统发送有关数据（包括电子数据和盖章生效的纸制清算汇总表），如因各种原因，该系统无法正常发送，双方可协商解决处理方式。基金管理人向基金托管人发送的数据，双方各自按有关规定保存。</w:t>
      </w:r>
    </w:p>
    <w:p w14:paraId="0FA1DF71"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．如基金管理人委托其他机构办理本基金的登记业务，应保证上述相关事宜按时进行。否则，由基金管理人承担相应的责任。</w:t>
      </w:r>
    </w:p>
    <w:p w14:paraId="5005AEBE"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．关于清算专用账户的设立和管理</w:t>
      </w:r>
    </w:p>
    <w:p w14:paraId="050D8DD0"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为满足申购、赎回及分红资金汇划的需要，由基金管理人开立资金清算的专用账户，该账户由登记机构管理。</w:t>
      </w:r>
    </w:p>
    <w:p w14:paraId="74060F6B"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78A782E"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．赎回和分红资金划拨规定</w:t>
      </w:r>
    </w:p>
    <w:p w14:paraId="06313D61"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拨付</w:t>
      </w:r>
      <w:proofErr w:type="gramStart"/>
      <w:r>
        <w:rPr>
          <w:rFonts w:ascii="Times New Roman" w:hAnsi="Times New Roman" w:cs="Times New Roman"/>
          <w:sz w:val="24"/>
          <w:szCs w:val="24"/>
        </w:rPr>
        <w:t>赎回款</w:t>
      </w:r>
      <w:proofErr w:type="gramEnd"/>
      <w:r>
        <w:rPr>
          <w:rFonts w:ascii="Times New Roman" w:hAnsi="Times New Roman" w:cs="Times New Roman"/>
          <w:sz w:val="24"/>
          <w:szCs w:val="24"/>
        </w:rPr>
        <w:t>或进行基金分红时，如基金资金账户有足够的资金，基金托管人应按时拨付；因基金资金账户没有足够的资金，导致基金托管人不能按时拨付，基金托管人不承担垫款义务。</w:t>
      </w:r>
    </w:p>
    <w:p w14:paraId="2A0C5C5A"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．资金指令</w:t>
      </w:r>
    </w:p>
    <w:p w14:paraId="373F9F52"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除申购款项到达基金资金账户需双方按约定方式对账外，回购到期付款和与投资有关的付款、赎回和分红资金划拨时，基金管理人需向基金托管人下达指令。</w:t>
      </w:r>
    </w:p>
    <w:p w14:paraId="1ECFD03A"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资金指令的格式、内容、发送、接收和确认方式等与投资指令相同。</w:t>
      </w:r>
    </w:p>
    <w:p w14:paraId="257406D5"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（四）</w:t>
      </w:r>
      <w:proofErr w:type="gramStart"/>
      <w:r>
        <w:rPr>
          <w:rFonts w:ascii="Times New Roman" w:hAnsi="Times New Roman" w:cs="Times New Roman"/>
          <w:sz w:val="24"/>
          <w:szCs w:val="24"/>
        </w:rPr>
        <w:t>申赎净额</w:t>
      </w:r>
      <w:proofErr w:type="gramEnd"/>
      <w:r>
        <w:rPr>
          <w:rFonts w:ascii="Times New Roman" w:hAnsi="Times New Roman" w:cs="Times New Roman"/>
          <w:sz w:val="24"/>
          <w:szCs w:val="24"/>
        </w:rPr>
        <w:t>结算</w:t>
      </w:r>
    </w:p>
    <w:p w14:paraId="6F36D0F9" w14:textId="2B236496"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lastRenderedPageBreak/>
        <w:t>基金托管账户与</w:t>
      </w:r>
      <w:r>
        <w:rPr>
          <w:rFonts w:ascii="Times New Roman" w:hAnsi="Times New Roman" w:cs="Times New Roman"/>
          <w:sz w:val="24"/>
          <w:szCs w:val="24"/>
        </w:rPr>
        <w:t>“</w:t>
      </w:r>
      <w:r>
        <w:rPr>
          <w:rFonts w:ascii="Times New Roman" w:hAnsi="Times New Roman" w:cs="Times New Roman"/>
          <w:sz w:val="24"/>
          <w:szCs w:val="24"/>
        </w:rPr>
        <w:t>基金清算账户</w:t>
      </w:r>
      <w:r>
        <w:rPr>
          <w:rFonts w:ascii="Times New Roman" w:hAnsi="Times New Roman" w:cs="Times New Roman"/>
          <w:sz w:val="24"/>
          <w:szCs w:val="24"/>
        </w:rPr>
        <w:t>”</w:t>
      </w:r>
      <w:r>
        <w:rPr>
          <w:rFonts w:ascii="Times New Roman" w:hAnsi="Times New Roman" w:cs="Times New Roman"/>
          <w:sz w:val="24"/>
          <w:szCs w:val="24"/>
        </w:rPr>
        <w:t>间的资金清算遵循</w:t>
      </w:r>
      <w:r>
        <w:rPr>
          <w:rFonts w:ascii="Times New Roman" w:hAnsi="Times New Roman" w:cs="Times New Roman"/>
          <w:sz w:val="24"/>
          <w:szCs w:val="24"/>
        </w:rPr>
        <w:t>“</w:t>
      </w:r>
      <w:r>
        <w:rPr>
          <w:rFonts w:ascii="Times New Roman" w:hAnsi="Times New Roman" w:cs="Times New Roman"/>
          <w:sz w:val="24"/>
          <w:szCs w:val="24"/>
        </w:rPr>
        <w:t>全额清算、净额交收</w:t>
      </w:r>
      <w:r>
        <w:rPr>
          <w:rFonts w:ascii="Times New Roman" w:hAnsi="Times New Roman" w:cs="Times New Roman"/>
          <w:sz w:val="24"/>
          <w:szCs w:val="24"/>
        </w:rPr>
        <w:t>”</w:t>
      </w:r>
      <w:r>
        <w:rPr>
          <w:rFonts w:ascii="Times New Roman" w:hAnsi="Times New Roman" w:cs="Times New Roman"/>
          <w:sz w:val="24"/>
          <w:szCs w:val="24"/>
        </w:rPr>
        <w:t>的原则，</w:t>
      </w:r>
      <w:r>
        <w:rPr>
          <w:rFonts w:ascii="Times New Roman" w:hAnsi="Times New Roman" w:cs="Times New Roman"/>
          <w:sz w:val="24"/>
          <w:szCs w:val="24"/>
        </w:rPr>
        <w:t xml:space="preserve"> </w:t>
      </w:r>
      <w:r>
        <w:rPr>
          <w:rFonts w:ascii="Times New Roman" w:hAnsi="Times New Roman" w:cs="Times New Roman"/>
          <w:sz w:val="24"/>
          <w:szCs w:val="24"/>
        </w:rPr>
        <w:t>即每日按照托管账户当日应收资金</w:t>
      </w:r>
      <w:r>
        <w:rPr>
          <w:rFonts w:ascii="Times New Roman" w:hAnsi="Times New Roman" w:cs="Times New Roman"/>
          <w:sz w:val="24"/>
          <w:szCs w:val="24"/>
        </w:rPr>
        <w:t>(</w:t>
      </w:r>
      <w:r>
        <w:rPr>
          <w:rFonts w:ascii="Times New Roman" w:hAnsi="Times New Roman" w:cs="Times New Roman"/>
          <w:sz w:val="24"/>
          <w:szCs w:val="24"/>
        </w:rPr>
        <w:t>申购申请对应申购净额与基金转换转入申请对应净额之和</w:t>
      </w:r>
      <w:r>
        <w:rPr>
          <w:rFonts w:ascii="Times New Roman" w:hAnsi="Times New Roman" w:cs="Times New Roman"/>
          <w:sz w:val="24"/>
          <w:szCs w:val="24"/>
        </w:rPr>
        <w:t>)</w:t>
      </w:r>
      <w:r>
        <w:rPr>
          <w:rFonts w:ascii="Times New Roman" w:hAnsi="Times New Roman" w:cs="Times New Roman"/>
          <w:sz w:val="24"/>
          <w:szCs w:val="24"/>
        </w:rPr>
        <w:t>与托管账户应付资金（赎回申请对应赎回金额扣除</w:t>
      </w:r>
      <w:proofErr w:type="gramStart"/>
      <w:r>
        <w:rPr>
          <w:rFonts w:ascii="Times New Roman" w:hAnsi="Times New Roman" w:cs="Times New Roman"/>
          <w:sz w:val="24"/>
          <w:szCs w:val="24"/>
        </w:rPr>
        <w:t>归基金</w:t>
      </w:r>
      <w:proofErr w:type="gramEnd"/>
      <w:r>
        <w:rPr>
          <w:rFonts w:ascii="Times New Roman" w:hAnsi="Times New Roman" w:cs="Times New Roman"/>
          <w:sz w:val="24"/>
          <w:szCs w:val="24"/>
        </w:rPr>
        <w:t>资产的费用与基金转换转出申请对应金额扣除</w:t>
      </w:r>
      <w:proofErr w:type="gramStart"/>
      <w:r>
        <w:rPr>
          <w:rFonts w:ascii="Times New Roman" w:hAnsi="Times New Roman" w:cs="Times New Roman"/>
          <w:sz w:val="24"/>
          <w:szCs w:val="24"/>
        </w:rPr>
        <w:t>归基金</w:t>
      </w:r>
      <w:proofErr w:type="gramEnd"/>
      <w:r>
        <w:rPr>
          <w:rFonts w:ascii="Times New Roman" w:hAnsi="Times New Roman" w:cs="Times New Roman"/>
          <w:sz w:val="24"/>
          <w:szCs w:val="24"/>
        </w:rPr>
        <w:t>资产的费用之和）的差额来确定托管账户净应收额或净应付额，以此确定资金交收额。如当日托管账户为净应收额时，基金管理人应在</w:t>
      </w:r>
      <w:proofErr w:type="gramStart"/>
      <w:r>
        <w:rPr>
          <w:rFonts w:ascii="Times New Roman" w:hAnsi="Times New Roman" w:cs="Times New Roman"/>
          <w:sz w:val="24"/>
          <w:szCs w:val="24"/>
        </w:rPr>
        <w:t>交收日</w:t>
      </w:r>
      <w:proofErr w:type="gramEnd"/>
      <w:r>
        <w:rPr>
          <w:rFonts w:ascii="Times New Roman" w:hAnsi="Times New Roman" w:cs="Times New Roman"/>
          <w:sz w:val="24"/>
          <w:szCs w:val="24"/>
        </w:rPr>
        <w:t>15</w:t>
      </w:r>
      <w:r>
        <w:rPr>
          <w:rFonts w:ascii="Times New Roman" w:hAnsi="Times New Roman" w:cs="Times New Roman"/>
          <w:sz w:val="24"/>
          <w:szCs w:val="24"/>
        </w:rPr>
        <w:t>：</w:t>
      </w:r>
      <w:r>
        <w:rPr>
          <w:rFonts w:ascii="Times New Roman" w:hAnsi="Times New Roman" w:cs="Times New Roman"/>
          <w:sz w:val="24"/>
          <w:szCs w:val="24"/>
        </w:rPr>
        <w:t>00</w:t>
      </w:r>
      <w:r>
        <w:rPr>
          <w:rFonts w:ascii="Times New Roman" w:hAnsi="Times New Roman" w:cs="Times New Roman"/>
          <w:sz w:val="24"/>
          <w:szCs w:val="24"/>
        </w:rPr>
        <w:t>之前从基金清算账户划到基金托管账户；如当日托管账户为净应付额时，基金托管人按基金管理人的划款指令将托管账户净应付额在</w:t>
      </w:r>
      <w:proofErr w:type="gramStart"/>
      <w:r>
        <w:rPr>
          <w:rFonts w:ascii="Times New Roman" w:hAnsi="Times New Roman" w:cs="Times New Roman"/>
          <w:sz w:val="24"/>
          <w:szCs w:val="24"/>
        </w:rPr>
        <w:t>交收日</w:t>
      </w:r>
      <w:proofErr w:type="gramEnd"/>
      <w:r>
        <w:rPr>
          <w:rFonts w:ascii="Times New Roman" w:hAnsi="Times New Roman" w:cs="Times New Roman"/>
          <w:sz w:val="24"/>
          <w:szCs w:val="24"/>
        </w:rPr>
        <w:t>12</w:t>
      </w:r>
      <w:r>
        <w:rPr>
          <w:rFonts w:ascii="Times New Roman" w:hAnsi="Times New Roman" w:cs="Times New Roman"/>
          <w:sz w:val="24"/>
          <w:szCs w:val="24"/>
        </w:rPr>
        <w:t>：</w:t>
      </w:r>
      <w:r>
        <w:rPr>
          <w:rFonts w:ascii="Times New Roman" w:hAnsi="Times New Roman" w:cs="Times New Roman"/>
          <w:sz w:val="24"/>
          <w:szCs w:val="24"/>
        </w:rPr>
        <w:t>00</w:t>
      </w:r>
      <w:r>
        <w:rPr>
          <w:rFonts w:ascii="Times New Roman" w:hAnsi="Times New Roman" w:cs="Times New Roman"/>
          <w:sz w:val="24"/>
          <w:szCs w:val="24"/>
        </w:rPr>
        <w:t>之前</w:t>
      </w:r>
      <w:proofErr w:type="gramStart"/>
      <w:r>
        <w:rPr>
          <w:rFonts w:ascii="Times New Roman" w:hAnsi="Times New Roman" w:cs="Times New Roman"/>
          <w:sz w:val="24"/>
          <w:szCs w:val="24"/>
        </w:rPr>
        <w:t>划往基金</w:t>
      </w:r>
      <w:proofErr w:type="gramEnd"/>
      <w:r>
        <w:rPr>
          <w:rFonts w:ascii="Times New Roman" w:hAnsi="Times New Roman" w:cs="Times New Roman"/>
          <w:sz w:val="24"/>
          <w:szCs w:val="24"/>
        </w:rPr>
        <w:t>清算账户，基金托管人在资金划出</w:t>
      </w:r>
      <w:r>
        <w:rPr>
          <w:rFonts w:ascii="Times New Roman" w:hAnsi="Times New Roman" w:cs="Times New Roman" w:hint="eastAsia"/>
          <w:sz w:val="24"/>
          <w:szCs w:val="24"/>
        </w:rPr>
        <w:t>异常时</w:t>
      </w:r>
      <w:r>
        <w:rPr>
          <w:rFonts w:ascii="Times New Roman" w:hAnsi="Times New Roman" w:cs="Times New Roman"/>
          <w:sz w:val="24"/>
          <w:szCs w:val="24"/>
        </w:rPr>
        <w:t>立即通知基金管理人。</w:t>
      </w:r>
    </w:p>
    <w:p w14:paraId="24FBD81F"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当存在托管账户净应付额时，如基金托管专户有足够的资金，基金托管人应按时拨付；因基金托管专户没有足够的资金，导致基金托管人不能按时拨付，基金托管人应及时通知基金管理人，如</w:t>
      </w:r>
      <w:proofErr w:type="gramStart"/>
      <w:r>
        <w:rPr>
          <w:rFonts w:ascii="Times New Roman" w:hAnsi="Times New Roman" w:cs="Times New Roman"/>
          <w:sz w:val="24"/>
          <w:szCs w:val="24"/>
        </w:rPr>
        <w:t>系基金</w:t>
      </w:r>
      <w:proofErr w:type="gramEnd"/>
      <w:r>
        <w:rPr>
          <w:rFonts w:ascii="Times New Roman" w:hAnsi="Times New Roman" w:cs="Times New Roman"/>
          <w:sz w:val="24"/>
          <w:szCs w:val="24"/>
        </w:rPr>
        <w:t>管理人的原因造成的，基金托管人不承担垫款义务。</w:t>
      </w:r>
    </w:p>
    <w:p w14:paraId="6C9ED3E2"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（五）基金转换</w:t>
      </w:r>
    </w:p>
    <w:p w14:paraId="24336EE7"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．在本基金与基金管理人管理的其它基金开展转换业务之前，基金管理人应函告基金托管人并就相关事宜进行协商。</w:t>
      </w:r>
    </w:p>
    <w:p w14:paraId="643259A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．基金托管人将根据基金管理人传送的基金转换数据进行账务处理，</w:t>
      </w:r>
      <w:proofErr w:type="gramStart"/>
      <w:r>
        <w:rPr>
          <w:rFonts w:ascii="Times New Roman" w:hAnsi="Times New Roman" w:cs="Times New Roman"/>
          <w:sz w:val="24"/>
          <w:szCs w:val="24"/>
        </w:rPr>
        <w:t>具体资金</w:t>
      </w:r>
      <w:proofErr w:type="gramEnd"/>
      <w:r>
        <w:rPr>
          <w:rFonts w:ascii="Times New Roman" w:hAnsi="Times New Roman" w:cs="Times New Roman"/>
          <w:sz w:val="24"/>
          <w:szCs w:val="24"/>
        </w:rPr>
        <w:t>清算和数据传递的时间、程序及托管协议当事人承担的权责按基金管理人届时的公告执行。</w:t>
      </w:r>
    </w:p>
    <w:p w14:paraId="7AA71FCE"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．本基金开展基金转换业务应按相关法律法规规定及基金合同的约定进行公告。</w:t>
      </w:r>
    </w:p>
    <w:p w14:paraId="787C197E"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（六）基金现金分红</w:t>
      </w:r>
    </w:p>
    <w:p w14:paraId="4BEAFA1F"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．基金管理人确定分红方案通知基金托管人，双方核定后，基金管理人依照《信息披露办法》的有关规定在中国证监会规定媒介上公告。</w:t>
      </w:r>
    </w:p>
    <w:p w14:paraId="108A6123"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．基金托管人和基金管理人对基金分红进行账务处理并核对后，基金管理人向基金托管人发送现金红利的划款指令，基金托管人应及时将资金划入专用</w:t>
      </w:r>
      <w:r>
        <w:rPr>
          <w:rFonts w:ascii="Times New Roman" w:hAnsi="Times New Roman" w:cs="Times New Roman"/>
          <w:sz w:val="24"/>
          <w:szCs w:val="24"/>
        </w:rPr>
        <w:lastRenderedPageBreak/>
        <w:t>账户。</w:t>
      </w:r>
    </w:p>
    <w:p w14:paraId="00AC9F95" w14:textId="77777777" w:rsidR="00F669C3" w:rsidRDefault="005406F2" w:rsidP="00F669C3">
      <w:pPr>
        <w:spacing w:line="360" w:lineRule="auto"/>
        <w:ind w:firstLine="480"/>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．基金管理人在下达指令时，应给基金托管人留出必需的划款时间。</w:t>
      </w:r>
      <w:bookmarkStart w:id="8" w:name="_Toc440289537"/>
      <w:bookmarkStart w:id="9" w:name="_Toc440289062"/>
      <w:bookmarkStart w:id="10" w:name="_Toc440289536"/>
    </w:p>
    <w:p w14:paraId="27BD4871" w14:textId="7972D085" w:rsidR="00BB7E47" w:rsidRPr="00F669C3" w:rsidRDefault="005406F2" w:rsidP="002A4822">
      <w:pPr>
        <w:spacing w:line="360" w:lineRule="auto"/>
        <w:ind w:firstLine="482"/>
        <w:jc w:val="center"/>
        <w:outlineLvl w:val="0"/>
        <w:rPr>
          <w:rFonts w:ascii="Times New Roman" w:hAnsi="Times New Roman" w:cs="Times New Roman"/>
          <w:b/>
          <w:sz w:val="30"/>
          <w:szCs w:val="30"/>
        </w:rPr>
      </w:pPr>
      <w:r>
        <w:rPr>
          <w:rFonts w:ascii="Times New Roman" w:hAnsi="Times New Roman" w:cs="Times New Roman"/>
          <w:sz w:val="24"/>
          <w:szCs w:val="24"/>
        </w:rPr>
        <w:br w:type="page"/>
      </w:r>
      <w:r w:rsidRPr="00F669C3">
        <w:rPr>
          <w:rFonts w:ascii="Times New Roman" w:hAnsi="Times New Roman" w:cs="Times New Roman"/>
          <w:b/>
          <w:sz w:val="30"/>
          <w:szCs w:val="30"/>
        </w:rPr>
        <w:lastRenderedPageBreak/>
        <w:t>八、基金资产净值计算和会计核算</w:t>
      </w:r>
      <w:bookmarkEnd w:id="8"/>
      <w:bookmarkEnd w:id="9"/>
      <w:bookmarkEnd w:id="10"/>
    </w:p>
    <w:p w14:paraId="2390F0E4"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（一）基金资产净值的计算、复核与完成的时间及程序</w:t>
      </w:r>
    </w:p>
    <w:p w14:paraId="0A762C81"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．基金资产净值</w:t>
      </w:r>
    </w:p>
    <w:p w14:paraId="729603E3"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基金资产净值是指基金资产总值减去负债后的价值。</w:t>
      </w:r>
    </w:p>
    <w:p w14:paraId="0020100F"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rPr>
        <w:t>基金份额净值是按照每个工作日闭市后，基金资产净值除以当日基金份额的余额数量计算，精确到</w:t>
      </w:r>
      <w:r>
        <w:rPr>
          <w:rFonts w:ascii="Times New Roman" w:hAnsi="Times New Roman" w:cs="Times New Roman"/>
          <w:bCs/>
          <w:sz w:val="24"/>
          <w:szCs w:val="20"/>
        </w:rPr>
        <w:t>0.0001</w:t>
      </w:r>
      <w:r>
        <w:rPr>
          <w:rFonts w:ascii="Times New Roman" w:hAnsi="Times New Roman" w:cs="Times New Roman"/>
          <w:sz w:val="24"/>
        </w:rPr>
        <w:t>元，小数点后第</w:t>
      </w:r>
      <w:r>
        <w:rPr>
          <w:rFonts w:ascii="Times New Roman" w:hAnsi="Times New Roman" w:cs="Times New Roman"/>
          <w:bCs/>
          <w:sz w:val="24"/>
          <w:szCs w:val="20"/>
        </w:rPr>
        <w:t>5</w:t>
      </w:r>
      <w:r>
        <w:rPr>
          <w:rFonts w:ascii="Times New Roman" w:hAnsi="Times New Roman" w:cs="Times New Roman"/>
          <w:sz w:val="24"/>
        </w:rPr>
        <w:t>位四舍五入。</w:t>
      </w:r>
      <w:r>
        <w:rPr>
          <w:rFonts w:ascii="Times New Roman" w:hAnsi="Times New Roman" w:cs="Times New Roman" w:hint="eastAsia"/>
          <w:sz w:val="24"/>
        </w:rPr>
        <w:t>基金管理人可以设立大额赎回情形下的净值精度应急调整机制。</w:t>
      </w:r>
      <w:r>
        <w:rPr>
          <w:rFonts w:ascii="Times New Roman" w:hAnsi="Times New Roman" w:cs="Times New Roman"/>
          <w:sz w:val="24"/>
        </w:rPr>
        <w:t>国家另有规定的，从其规定</w:t>
      </w:r>
      <w:r>
        <w:rPr>
          <w:rFonts w:ascii="Times New Roman" w:hAnsi="Times New Roman" w:cs="Times New Roman"/>
          <w:sz w:val="24"/>
          <w:szCs w:val="24"/>
        </w:rPr>
        <w:t>。</w:t>
      </w:r>
    </w:p>
    <w:p w14:paraId="6914B4D6" w14:textId="2AD3BB6B"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基金管理人每个工作日计算基金资产净值及基金份额净值，经基金托管人复核，按规定公告。</w:t>
      </w:r>
      <w:r>
        <w:rPr>
          <w:rFonts w:ascii="Times New Roman" w:hAnsi="Times New Roman" w:cs="Times New Roman"/>
          <w:bCs/>
          <w:sz w:val="24"/>
          <w:szCs w:val="24"/>
        </w:rPr>
        <w:t>但基金管理人根据法律法规或基金合同的规定暂停估值时除外。</w:t>
      </w:r>
    </w:p>
    <w:p w14:paraId="5A6A6815"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．复核程序</w:t>
      </w:r>
    </w:p>
    <w:p w14:paraId="3F27DCE6" w14:textId="33C70D11"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基金管理人每工作日对基金资产进行估值后，将基金份额净值结果发送基金托管人，经基金托管人复核无误后，由基金管理人</w:t>
      </w:r>
      <w:r>
        <w:rPr>
          <w:rFonts w:ascii="Times New Roman" w:hAnsi="Times New Roman" w:cs="Times New Roman"/>
          <w:bCs/>
          <w:sz w:val="24"/>
        </w:rPr>
        <w:t>按规定</w:t>
      </w:r>
      <w:r>
        <w:rPr>
          <w:rFonts w:ascii="Times New Roman" w:hAnsi="Times New Roman" w:cs="Times New Roman"/>
          <w:sz w:val="24"/>
          <w:szCs w:val="24"/>
        </w:rPr>
        <w:t>对外公布。</w:t>
      </w:r>
    </w:p>
    <w:p w14:paraId="77523346"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．根据有关法律法规，基金资产净值计算和基金会计核算的义务由基金管理人承担。本基金的基金会计</w:t>
      </w:r>
      <w:proofErr w:type="gramStart"/>
      <w:r>
        <w:rPr>
          <w:rFonts w:ascii="Times New Roman" w:hAnsi="Times New Roman" w:cs="Times New Roman"/>
          <w:sz w:val="24"/>
          <w:szCs w:val="24"/>
        </w:rPr>
        <w:t>主责任</w:t>
      </w:r>
      <w:proofErr w:type="gramEnd"/>
      <w:r>
        <w:rPr>
          <w:rFonts w:ascii="Times New Roman" w:hAnsi="Times New Roman" w:cs="Times New Roman"/>
          <w:sz w:val="24"/>
          <w:szCs w:val="24"/>
        </w:rPr>
        <w:t>方由基金管理人担任，基金托管人承担复核责任。因此，就与本基金有关的会计问题，如经相关各方在平等基础上充分讨论后，仍无法达成一致意见的，按照基金管理人对基金净值的计算结果对外予以公布。</w:t>
      </w:r>
    </w:p>
    <w:p w14:paraId="27860ED3"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（二）基金资产估值方法和特殊情形的处理</w:t>
      </w:r>
    </w:p>
    <w:p w14:paraId="5CF37B02"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．估值对象</w:t>
      </w:r>
    </w:p>
    <w:p w14:paraId="03C2EB13" w14:textId="764D19C4"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基金所拥有的债券、银行存款本息、应收款项、其它投资等资产及负债。</w:t>
      </w:r>
    </w:p>
    <w:p w14:paraId="67C0E83B"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．估值方法</w:t>
      </w:r>
    </w:p>
    <w:p w14:paraId="6E99FF57"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hint="eastAsia"/>
          <w:sz w:val="24"/>
        </w:rPr>
        <w:t>已上市或已挂牌转让的不含</w:t>
      </w:r>
      <w:proofErr w:type="gramStart"/>
      <w:r>
        <w:rPr>
          <w:rFonts w:ascii="Times New Roman" w:hAnsi="Times New Roman" w:cs="Times New Roman" w:hint="eastAsia"/>
          <w:sz w:val="24"/>
        </w:rPr>
        <w:t>权固定</w:t>
      </w:r>
      <w:proofErr w:type="gramEnd"/>
      <w:r>
        <w:rPr>
          <w:rFonts w:ascii="Times New Roman" w:hAnsi="Times New Roman" w:cs="Times New Roman" w:hint="eastAsia"/>
          <w:sz w:val="24"/>
        </w:rPr>
        <w:t>收益品种（另有规定的除外），选取第三方估值基准服务机构提供的相应品种当日的估值全价；</w:t>
      </w:r>
    </w:p>
    <w:p w14:paraId="24E599A1"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hint="eastAsia"/>
          <w:sz w:val="24"/>
        </w:rPr>
        <w:lastRenderedPageBreak/>
        <w:t>（</w:t>
      </w:r>
      <w:r>
        <w:rPr>
          <w:rFonts w:ascii="Times New Roman" w:hAnsi="Times New Roman" w:cs="Times New Roman"/>
          <w:sz w:val="24"/>
        </w:rPr>
        <w:t>2</w:t>
      </w:r>
      <w:r>
        <w:rPr>
          <w:rFonts w:ascii="Times New Roman" w:hAnsi="Times New Roman" w:cs="Times New Roman" w:hint="eastAsia"/>
          <w:sz w:val="24"/>
        </w:rPr>
        <w:t>）已上市或已挂牌转让的含</w:t>
      </w:r>
      <w:proofErr w:type="gramStart"/>
      <w:r>
        <w:rPr>
          <w:rFonts w:ascii="Times New Roman" w:hAnsi="Times New Roman" w:cs="Times New Roman" w:hint="eastAsia"/>
          <w:sz w:val="24"/>
        </w:rPr>
        <w:t>权固定</w:t>
      </w:r>
      <w:proofErr w:type="gramEnd"/>
      <w:r>
        <w:rPr>
          <w:rFonts w:ascii="Times New Roman" w:hAnsi="Times New Roman" w:cs="Times New Roman" w:hint="eastAsia"/>
          <w:sz w:val="24"/>
        </w:rPr>
        <w:t>收益品种（另有规定的除外），选取第三方估值基准服务机构提供的相应品种当日的唯一估值全价或推荐估值全价；</w:t>
      </w:r>
    </w:p>
    <w:p w14:paraId="1743740E"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hint="eastAsia"/>
          <w:sz w:val="24"/>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51DA33E6" w14:textId="132053B5" w:rsidR="00BB7E47" w:rsidRDefault="005406F2">
      <w:pPr>
        <w:spacing w:line="360" w:lineRule="auto"/>
        <w:ind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sz w:val="24"/>
        </w:rPr>
        <w:t>3</w:t>
      </w:r>
      <w:r>
        <w:rPr>
          <w:rFonts w:ascii="Times New Roman" w:hAnsi="Times New Roman" w:cs="Times New Roman" w:hint="eastAsia"/>
          <w:sz w:val="24"/>
        </w:rPr>
        <w:t>）未上市或未挂牌转让且不存在活跃市场的固定收益品种，采用在当前情况下适用并且有足够可利用数据和其他信息支持的估值技术确定其公允价值。</w:t>
      </w:r>
    </w:p>
    <w:p w14:paraId="3B05EF19"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）同一证券同时在两个或两个以上市场交易的，按证券所处的市场分别估值。</w:t>
      </w:r>
    </w:p>
    <w:p w14:paraId="0CEB4B04" w14:textId="7A1A8D4B"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）如有确凿证据表明按上述方法进行估值不能客观反映其公允价值的，基金管理人可根据具体情况与基金托管人商定后，按最能反映公允价值的价格估值。</w:t>
      </w:r>
    </w:p>
    <w:p w14:paraId="39A98509" w14:textId="3916DE13"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）当发生大额申购或赎回情形时，基金管理人可以采用摆动定价机制，以确保基金估值的公平性。</w:t>
      </w:r>
    </w:p>
    <w:p w14:paraId="37618708" w14:textId="1B2062D4"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7</w:t>
      </w:r>
      <w:r>
        <w:rPr>
          <w:rFonts w:ascii="Times New Roman" w:hAnsi="Times New Roman" w:cs="Times New Roman"/>
          <w:sz w:val="24"/>
        </w:rPr>
        <w:t>）相关法律法规以及监管部门有强制规定的，从其规定。如有新增事项，按国家最新规定估值。</w:t>
      </w:r>
    </w:p>
    <w:p w14:paraId="338612CD"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98C1498" w14:textId="0CD2ACFA" w:rsidR="00BB7E47" w:rsidRDefault="00BB7E47">
      <w:pPr>
        <w:spacing w:line="360" w:lineRule="auto"/>
        <w:ind w:firstLine="480"/>
        <w:rPr>
          <w:rFonts w:ascii="Times New Roman" w:hAnsi="Times New Roman" w:cs="Times New Roman"/>
          <w:sz w:val="24"/>
          <w:szCs w:val="24"/>
          <w:lang w:eastAsia="zh-Hans"/>
        </w:rPr>
      </w:pPr>
    </w:p>
    <w:p w14:paraId="4DFEE80E" w14:textId="77777777" w:rsidR="00BB7E47" w:rsidRDefault="005406F2">
      <w:pPr>
        <w:tabs>
          <w:tab w:val="left" w:pos="3375"/>
          <w:tab w:val="left" w:pos="4920"/>
        </w:tabs>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．特殊情形的处理</w:t>
      </w:r>
      <w:r>
        <w:rPr>
          <w:rFonts w:ascii="Times New Roman" w:hAnsi="Times New Roman" w:cs="Times New Roman"/>
          <w:sz w:val="24"/>
          <w:szCs w:val="24"/>
        </w:rPr>
        <w:tab/>
      </w:r>
      <w:r>
        <w:rPr>
          <w:rFonts w:ascii="Times New Roman" w:hAnsi="Times New Roman" w:cs="Times New Roman"/>
          <w:sz w:val="24"/>
          <w:szCs w:val="24"/>
        </w:rPr>
        <w:tab/>
      </w:r>
    </w:p>
    <w:p w14:paraId="47193CF3" w14:textId="5EAA4F7E" w:rsidR="00BB7E47" w:rsidRDefault="005406F2">
      <w:pPr>
        <w:spacing w:line="360" w:lineRule="auto"/>
        <w:ind w:firstLine="480"/>
        <w:rPr>
          <w:rFonts w:ascii="Times New Roman" w:hAnsi="Times New Roman" w:cs="Times New Roman"/>
          <w:bCs/>
          <w:sz w:val="24"/>
          <w:szCs w:val="20"/>
        </w:rPr>
      </w:pPr>
      <w:r>
        <w:rPr>
          <w:rFonts w:ascii="Times New Roman" w:hAnsi="Times New Roman" w:cs="Times New Roman"/>
          <w:sz w:val="24"/>
          <w:szCs w:val="24"/>
        </w:rPr>
        <w:t>基金管理人或基金托管人</w:t>
      </w:r>
      <w:r>
        <w:rPr>
          <w:rFonts w:ascii="Times New Roman" w:hAnsi="Times New Roman" w:cs="Times New Roman"/>
          <w:bCs/>
          <w:sz w:val="24"/>
          <w:szCs w:val="20"/>
        </w:rPr>
        <w:t>按估值方法的第（</w:t>
      </w:r>
      <w:r>
        <w:rPr>
          <w:rFonts w:ascii="Times New Roman" w:hAnsi="Times New Roman" w:cs="Times New Roman"/>
          <w:bCs/>
          <w:sz w:val="24"/>
          <w:szCs w:val="20"/>
        </w:rPr>
        <w:t>5</w:t>
      </w:r>
      <w:r>
        <w:rPr>
          <w:rFonts w:ascii="Times New Roman" w:hAnsi="Times New Roman" w:cs="Times New Roman"/>
          <w:bCs/>
          <w:sz w:val="24"/>
          <w:szCs w:val="20"/>
        </w:rPr>
        <w:t>）项条款进行估值时，所造成的误差不作为基金份额净值错误处理。</w:t>
      </w:r>
    </w:p>
    <w:p w14:paraId="2E440447" w14:textId="3099E8BE" w:rsidR="00BB7E47" w:rsidRDefault="005406F2">
      <w:pPr>
        <w:spacing w:line="360" w:lineRule="auto"/>
        <w:ind w:firstLine="480"/>
        <w:rPr>
          <w:rFonts w:ascii="Times New Roman" w:hAnsi="Times New Roman" w:cs="Times New Roman"/>
          <w:bCs/>
          <w:sz w:val="24"/>
          <w:szCs w:val="20"/>
        </w:rPr>
      </w:pPr>
      <w:r>
        <w:rPr>
          <w:rFonts w:ascii="Times New Roman" w:hAnsi="Times New Roman" w:cs="Times New Roman"/>
          <w:bCs/>
          <w:sz w:val="24"/>
          <w:szCs w:val="20"/>
        </w:rPr>
        <w:t>由于不可抗力原因，或由于证券交易所、登记结算公司、第三方估值</w:t>
      </w:r>
      <w:r>
        <w:rPr>
          <w:rFonts w:ascii="Times New Roman" w:hAnsi="Times New Roman" w:cs="Times New Roman" w:hint="eastAsia"/>
          <w:bCs/>
          <w:sz w:val="24"/>
          <w:szCs w:val="20"/>
        </w:rPr>
        <w:t>基准</w:t>
      </w:r>
      <w:r>
        <w:rPr>
          <w:rFonts w:ascii="Times New Roman" w:hAnsi="Times New Roman" w:cs="Times New Roman" w:hint="eastAsia"/>
          <w:bCs/>
          <w:sz w:val="24"/>
          <w:szCs w:val="20"/>
        </w:rPr>
        <w:lastRenderedPageBreak/>
        <w:t>服务</w:t>
      </w:r>
      <w:r>
        <w:rPr>
          <w:rFonts w:ascii="Times New Roman" w:hAnsi="Times New Roman" w:cs="Times New Roman"/>
          <w:bCs/>
          <w:sz w:val="24"/>
          <w:szCs w:val="20"/>
        </w:rPr>
        <w:t>机构及存款银行等第三方机构发送的数据错误、遗漏，或国家会计政策变更、市场规则变更等</w:t>
      </w:r>
      <w:proofErr w:type="gramStart"/>
      <w:r>
        <w:rPr>
          <w:rFonts w:ascii="Times New Roman" w:hAnsi="Times New Roman" w:cs="Times New Roman"/>
          <w:bCs/>
          <w:sz w:val="24"/>
          <w:szCs w:val="20"/>
        </w:rPr>
        <w:t>非基金</w:t>
      </w:r>
      <w:proofErr w:type="gramEnd"/>
      <w:r>
        <w:rPr>
          <w:rFonts w:ascii="Times New Roman" w:hAnsi="Times New Roman" w:cs="Times New Roman"/>
          <w:bCs/>
          <w:sz w:val="24"/>
          <w:szCs w:val="20"/>
        </w:rPr>
        <w:t>管理人与基金托管人原因，基金管理人和基金托管人虽然已经采取必要、适当、合理的措施进行检查，但是未能发现该错误</w:t>
      </w:r>
      <w:r w:rsidR="002C383A" w:rsidRPr="002C383A">
        <w:rPr>
          <w:rFonts w:ascii="Times New Roman" w:hAnsi="Times New Roman" w:cs="Times New Roman" w:hint="eastAsia"/>
          <w:bCs/>
          <w:sz w:val="24"/>
          <w:szCs w:val="20"/>
        </w:rPr>
        <w:t>或因前述原因未能更正错误</w:t>
      </w:r>
      <w:r>
        <w:rPr>
          <w:rFonts w:ascii="Times New Roman" w:hAnsi="Times New Roman" w:cs="Times New Roman"/>
          <w:bCs/>
          <w:sz w:val="24"/>
          <w:szCs w:val="20"/>
        </w:rPr>
        <w:t>的，由此造成的基金资产估值错误，基金管理人和基金托管人免除赔偿责任。但基金管理人和基金托管人应当积极采取必要的措施消除或减轻由此造成的影响。</w:t>
      </w:r>
    </w:p>
    <w:p w14:paraId="0264F502"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（三）基金份额净值错误的处理方式</w:t>
      </w:r>
    </w:p>
    <w:p w14:paraId="7617FFB3" w14:textId="06475E34"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．当基金份额净值小数点后</w:t>
      </w:r>
      <w:r>
        <w:rPr>
          <w:rFonts w:ascii="Times New Roman" w:hAnsi="Times New Roman" w:cs="Times New Roman"/>
          <w:sz w:val="24"/>
          <w:szCs w:val="24"/>
        </w:rPr>
        <w:t>4</w:t>
      </w:r>
      <w:r>
        <w:rPr>
          <w:rFonts w:ascii="Times New Roman" w:hAnsi="Times New Roman" w:cs="Times New Roman"/>
          <w:sz w:val="24"/>
          <w:szCs w:val="24"/>
        </w:rPr>
        <w:t>位以内（含第</w:t>
      </w:r>
      <w:r>
        <w:rPr>
          <w:rFonts w:ascii="Times New Roman" w:hAnsi="Times New Roman" w:cs="Times New Roman"/>
          <w:sz w:val="24"/>
          <w:szCs w:val="24"/>
        </w:rPr>
        <w:t>4</w:t>
      </w:r>
      <w:r>
        <w:rPr>
          <w:rFonts w:ascii="Times New Roman" w:hAnsi="Times New Roman" w:cs="Times New Roman"/>
          <w:sz w:val="24"/>
          <w:szCs w:val="24"/>
        </w:rPr>
        <w:t>位）发生差错时，视为基金份额净值错误；基金份额净值出现错误时，基金管理人应当立即予以纠正，通报基金托管人，并采取合理的措施防止损失进一步扩大；错误偏差达到基金份额净值的</w:t>
      </w:r>
      <w:r>
        <w:rPr>
          <w:rFonts w:ascii="Times New Roman" w:hAnsi="Times New Roman" w:cs="Times New Roman"/>
          <w:sz w:val="24"/>
          <w:szCs w:val="24"/>
        </w:rPr>
        <w:t>0.25%</w:t>
      </w:r>
      <w:r>
        <w:rPr>
          <w:rFonts w:ascii="Times New Roman" w:hAnsi="Times New Roman" w:cs="Times New Roman"/>
          <w:sz w:val="24"/>
          <w:szCs w:val="24"/>
        </w:rPr>
        <w:t>时，基金管理人应当通报基金托管人并报中国证监会备案；错误偏差达到基金份额净值的</w:t>
      </w:r>
      <w:r>
        <w:rPr>
          <w:rFonts w:ascii="Times New Roman" w:hAnsi="Times New Roman" w:cs="Times New Roman"/>
          <w:sz w:val="24"/>
          <w:szCs w:val="24"/>
        </w:rPr>
        <w:t>0.50%</w:t>
      </w:r>
      <w:r>
        <w:rPr>
          <w:rFonts w:ascii="Times New Roman" w:hAnsi="Times New Roman" w:cs="Times New Roman"/>
          <w:sz w:val="24"/>
          <w:szCs w:val="24"/>
        </w:rPr>
        <w:t>时，基金管理人和基金托管人应当公告</w:t>
      </w:r>
      <w:r>
        <w:rPr>
          <w:rFonts w:ascii="Times New Roman" w:hAnsi="Times New Roman" w:cs="Times New Roman" w:hint="eastAsia"/>
          <w:sz w:val="24"/>
          <w:szCs w:val="24"/>
        </w:rPr>
        <w:t>，并报中国证监会备案</w:t>
      </w:r>
      <w:r>
        <w:rPr>
          <w:rFonts w:ascii="Times New Roman" w:hAnsi="Times New Roman" w:cs="Times New Roman"/>
          <w:sz w:val="24"/>
          <w:szCs w:val="24"/>
        </w:rPr>
        <w:t>。</w:t>
      </w:r>
    </w:p>
    <w:p w14:paraId="11B97C28"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Cs/>
          <w:sz w:val="24"/>
        </w:rPr>
        <w:t>当基金份额净值计算差错给基金和基金份额持有人造成损失需要进行赔偿时，基金管理人和基金托管人应根据实际情况界定双方承担的责任，经确认后按以下条款进行赔偿：</w:t>
      </w:r>
    </w:p>
    <w:p w14:paraId="13DCB3F8" w14:textId="77777777" w:rsidR="00BB7E47" w:rsidRDefault="005406F2">
      <w:pPr>
        <w:spacing w:line="360" w:lineRule="auto"/>
        <w:ind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1</w:t>
      </w:r>
      <w:r>
        <w:rPr>
          <w:rFonts w:ascii="Times New Roman" w:hAnsi="Times New Roman" w:cs="Times New Roman"/>
          <w:bCs/>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4F0F5BB" w14:textId="3F55DD4D" w:rsidR="00BB7E47" w:rsidRDefault="005406F2">
      <w:pPr>
        <w:spacing w:line="360" w:lineRule="auto"/>
        <w:ind w:right="28" w:firstLine="480"/>
        <w:rPr>
          <w:rFonts w:ascii="Times New Roman" w:hAnsi="Times New Roman" w:cs="Times New Roman"/>
          <w:sz w:val="24"/>
          <w:szCs w:val="24"/>
        </w:rPr>
      </w:pPr>
      <w:r>
        <w:rPr>
          <w:rFonts w:ascii="Times New Roman" w:hAnsi="Times New Roman" w:cs="Times New Roman"/>
          <w:bCs/>
          <w:sz w:val="24"/>
        </w:rPr>
        <w:t>（</w:t>
      </w:r>
      <w:r>
        <w:rPr>
          <w:rFonts w:ascii="Times New Roman" w:hAnsi="Times New Roman" w:cs="Times New Roman"/>
          <w:bCs/>
          <w:sz w:val="24"/>
        </w:rPr>
        <w:t>2</w:t>
      </w:r>
      <w:r>
        <w:rPr>
          <w:rFonts w:ascii="Times New Roman" w:hAnsi="Times New Roman" w:cs="Times New Roman"/>
          <w:bCs/>
          <w:sz w:val="24"/>
        </w:rPr>
        <w:t>）</w:t>
      </w:r>
      <w:proofErr w:type="gramStart"/>
      <w:r>
        <w:rPr>
          <w:rFonts w:ascii="Times New Roman" w:hAnsi="Times New Roman" w:cs="Times New Roman"/>
          <w:bCs/>
          <w:sz w:val="24"/>
        </w:rPr>
        <w:t>若基金</w:t>
      </w:r>
      <w:proofErr w:type="gramEnd"/>
      <w:r>
        <w:rPr>
          <w:rFonts w:ascii="Times New Roman" w:hAnsi="Times New Roman" w:cs="Times New Roman"/>
          <w:bCs/>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r>
        <w:rPr>
          <w:rFonts w:ascii="Times New Roman" w:hAnsi="Times New Roman" w:cs="Times New Roman"/>
          <w:sz w:val="24"/>
        </w:rPr>
        <w:t>基金管理人</w:t>
      </w:r>
      <w:r w:rsidR="00621576">
        <w:rPr>
          <w:rFonts w:ascii="Times New Roman" w:hAnsi="Times New Roman" w:cs="Times New Roman" w:hint="eastAsia"/>
          <w:sz w:val="24"/>
        </w:rPr>
        <w:t>有权</w:t>
      </w:r>
      <w:r>
        <w:rPr>
          <w:rFonts w:ascii="Times New Roman" w:hAnsi="Times New Roman" w:cs="Times New Roman"/>
          <w:sz w:val="24"/>
        </w:rPr>
        <w:t>向获得不当得利之主体主张返还不当得利。</w:t>
      </w:r>
    </w:p>
    <w:p w14:paraId="7B0FC918" w14:textId="77777777" w:rsidR="00BB7E47" w:rsidRDefault="005406F2">
      <w:pPr>
        <w:spacing w:line="360" w:lineRule="auto"/>
        <w:ind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3</w:t>
      </w:r>
      <w:r>
        <w:rPr>
          <w:rFonts w:ascii="Times New Roman" w:hAnsi="Times New Roman" w:cs="Times New Roman"/>
          <w:bCs/>
          <w:sz w:val="24"/>
        </w:rPr>
        <w:t>）如基金管理人和基金托管人对基金份额净值的计算结果，虽然多次重新计算和核对或对基金管理人采用的估值方法，尚不能达成一致时，为避免不</w:t>
      </w:r>
      <w:r>
        <w:rPr>
          <w:rFonts w:ascii="Times New Roman" w:hAnsi="Times New Roman" w:cs="Times New Roman"/>
          <w:bCs/>
          <w:sz w:val="24"/>
        </w:rPr>
        <w:lastRenderedPageBreak/>
        <w:t>能按时公布基金份额净值的情形，以基金管理人的计算结果对外公布，由此给基金份额持有人和基金造成的损失，由基金管理人负责赔付。</w:t>
      </w:r>
    </w:p>
    <w:p w14:paraId="27A28678" w14:textId="77777777" w:rsidR="00BB7E47" w:rsidRDefault="005406F2">
      <w:pPr>
        <w:spacing w:line="360" w:lineRule="auto"/>
        <w:ind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4</w:t>
      </w:r>
      <w:r>
        <w:rPr>
          <w:rFonts w:ascii="Times New Roman" w:hAnsi="Times New Roman" w:cs="Times New Roman"/>
          <w:bCs/>
          <w:sz w:val="24"/>
        </w:rPr>
        <w:t>）由于基金管理人提供的信息错误（包括但不限于基金申购或赎回金额等），进而导致基金份额净值计算错误而引起的基金份额持有人和基金财产的损失，由基金管理人负责赔付。</w:t>
      </w:r>
    </w:p>
    <w:p w14:paraId="210D810A" w14:textId="77777777" w:rsidR="00BB7E47" w:rsidRDefault="005406F2">
      <w:pPr>
        <w:spacing w:line="360" w:lineRule="auto"/>
        <w:ind w:firstLine="480"/>
        <w:rPr>
          <w:rFonts w:ascii="Times New Roman" w:hAnsi="Times New Roman" w:cs="Times New Roman"/>
          <w:bCs/>
          <w:sz w:val="24"/>
        </w:rPr>
      </w:pPr>
      <w:r>
        <w:rPr>
          <w:rFonts w:ascii="Times New Roman" w:hAnsi="Times New Roman" w:cs="Times New Roman"/>
          <w:sz w:val="24"/>
          <w:szCs w:val="24"/>
        </w:rPr>
        <w:t>3.</w:t>
      </w:r>
      <w:r>
        <w:rPr>
          <w:rFonts w:ascii="Times New Roman" w:hAnsi="Times New Roman" w:cs="Times New Roman"/>
          <w:bCs/>
          <w:sz w:val="24"/>
        </w:rPr>
        <w:t xml:space="preserve"> </w:t>
      </w:r>
      <w:r>
        <w:rPr>
          <w:rFonts w:ascii="Times New Roman" w:hAnsi="Times New Roman" w:cs="Times New Roman"/>
          <w:bCs/>
          <w:sz w:val="24"/>
        </w:rPr>
        <w:t>基金管理人和基金托管人由于各自技术系统设置而产生的净值计算尾差，以基金管理人计算结果为准。</w:t>
      </w:r>
    </w:p>
    <w:p w14:paraId="1E1C0F23" w14:textId="77777777" w:rsidR="00BB7E47" w:rsidRDefault="005406F2">
      <w:pPr>
        <w:spacing w:line="360" w:lineRule="auto"/>
        <w:ind w:firstLine="480"/>
        <w:rPr>
          <w:rFonts w:ascii="Times New Roman" w:hAnsi="Times New Roman" w:cs="Times New Roman"/>
          <w:bCs/>
          <w:sz w:val="24"/>
        </w:rPr>
      </w:pPr>
      <w:r>
        <w:rPr>
          <w:rFonts w:ascii="Times New Roman" w:hAnsi="Times New Roman" w:cs="Times New Roman"/>
          <w:sz w:val="24"/>
          <w:szCs w:val="24"/>
        </w:rPr>
        <w:t>4.</w:t>
      </w:r>
      <w:r>
        <w:rPr>
          <w:rFonts w:ascii="Times New Roman" w:hAnsi="Times New Roman" w:cs="Times New Roman"/>
          <w:sz w:val="24"/>
        </w:rPr>
        <w:t>前述内容如法律法规</w:t>
      </w:r>
      <w:r>
        <w:rPr>
          <w:rFonts w:ascii="Times New Roman" w:hAnsi="Times New Roman" w:cs="Times New Roman"/>
          <w:bCs/>
          <w:sz w:val="24"/>
          <w:szCs w:val="20"/>
        </w:rPr>
        <w:t>或</w:t>
      </w:r>
      <w:r>
        <w:rPr>
          <w:rFonts w:ascii="Times New Roman" w:hAnsi="Times New Roman" w:cs="Times New Roman"/>
          <w:sz w:val="24"/>
        </w:rPr>
        <w:t>监管</w:t>
      </w:r>
      <w:r>
        <w:rPr>
          <w:rFonts w:ascii="Times New Roman" w:hAnsi="Times New Roman" w:cs="Times New Roman"/>
          <w:bCs/>
          <w:sz w:val="24"/>
          <w:szCs w:val="20"/>
        </w:rPr>
        <w:t>机关</w:t>
      </w:r>
      <w:r>
        <w:rPr>
          <w:rFonts w:ascii="Times New Roman" w:hAnsi="Times New Roman" w:cs="Times New Roman"/>
          <w:sz w:val="24"/>
        </w:rPr>
        <w:t>另有规定的，从其规定</w:t>
      </w:r>
      <w:r>
        <w:rPr>
          <w:rFonts w:ascii="Times New Roman" w:hAnsi="Times New Roman" w:cs="Times New Roman"/>
          <w:bCs/>
          <w:sz w:val="24"/>
          <w:szCs w:val="20"/>
        </w:rPr>
        <w:t>处理</w:t>
      </w:r>
      <w:r>
        <w:rPr>
          <w:rFonts w:ascii="Times New Roman" w:hAnsi="Times New Roman" w:cs="Times New Roman"/>
          <w:sz w:val="24"/>
        </w:rPr>
        <w:t>。</w:t>
      </w:r>
      <w:r>
        <w:rPr>
          <w:rFonts w:ascii="Times New Roman" w:hAnsi="Times New Roman" w:cs="Times New Roman"/>
          <w:bCs/>
          <w:sz w:val="24"/>
        </w:rPr>
        <w:t>如果行业另有通行做法，双方当事人应本着平等和保护基金份额持有人利益的原则进行协商。</w:t>
      </w:r>
    </w:p>
    <w:p w14:paraId="357D7587"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（四）暂停估值与公告基金份额净值的情形</w:t>
      </w:r>
    </w:p>
    <w:p w14:paraId="29127E48"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szCs w:val="24"/>
        </w:rPr>
        <w:t>1.</w:t>
      </w:r>
      <w:r>
        <w:rPr>
          <w:rFonts w:ascii="Times New Roman" w:hAnsi="Times New Roman" w:cs="Times New Roman"/>
          <w:sz w:val="24"/>
        </w:rPr>
        <w:t>基金投资所涉及的证券交易市场遇法定节假日或因其他原因暂停营业时；</w:t>
      </w:r>
    </w:p>
    <w:p w14:paraId="45835983"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szCs w:val="24"/>
        </w:rPr>
        <w:t>2.</w:t>
      </w:r>
      <w:r>
        <w:rPr>
          <w:rFonts w:ascii="Times New Roman" w:hAnsi="Times New Roman" w:cs="Times New Roman"/>
          <w:sz w:val="24"/>
        </w:rPr>
        <w:t>因不可抗力或其他情形致使基金管理人、基金托管人无法准确评估基金资产价值时；</w:t>
      </w:r>
    </w:p>
    <w:p w14:paraId="5B0DC9C2"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当特定资产占前一估值日基金资产净值</w:t>
      </w:r>
      <w:r>
        <w:rPr>
          <w:rFonts w:ascii="Times New Roman" w:hAnsi="Times New Roman" w:cs="Times New Roman"/>
          <w:sz w:val="24"/>
          <w:szCs w:val="24"/>
        </w:rPr>
        <w:t>50%</w:t>
      </w:r>
      <w:r>
        <w:rPr>
          <w:rFonts w:ascii="Times New Roman" w:hAnsi="Times New Roman" w:cs="Times New Roman"/>
          <w:sz w:val="24"/>
          <w:szCs w:val="24"/>
        </w:rPr>
        <w:t>以上的，经与基金托管人协商确认后，基金管理人应当暂停基金估值；</w:t>
      </w:r>
    </w:p>
    <w:p w14:paraId="3B020925"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法律法规、中国证监会和基金合同认定的其它情形。</w:t>
      </w:r>
    </w:p>
    <w:p w14:paraId="582598F9"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（五）实施</w:t>
      </w:r>
      <w:proofErr w:type="gramStart"/>
      <w:r>
        <w:rPr>
          <w:rFonts w:ascii="Times New Roman" w:hAnsi="Times New Roman" w:cs="Times New Roman"/>
          <w:sz w:val="24"/>
          <w:szCs w:val="24"/>
        </w:rPr>
        <w:t>侧袋机制</w:t>
      </w:r>
      <w:proofErr w:type="gramEnd"/>
      <w:r>
        <w:rPr>
          <w:rFonts w:ascii="Times New Roman" w:hAnsi="Times New Roman" w:cs="Times New Roman"/>
          <w:sz w:val="24"/>
          <w:szCs w:val="24"/>
        </w:rPr>
        <w:t>期间的基金资产估值</w:t>
      </w:r>
    </w:p>
    <w:p w14:paraId="356A5BB4" w14:textId="77777777" w:rsidR="00BB7E47" w:rsidRDefault="005406F2">
      <w:pPr>
        <w:spacing w:line="360" w:lineRule="auto"/>
        <w:ind w:firstLine="480"/>
        <w:rPr>
          <w:rFonts w:ascii="Times New Roman" w:hAnsi="Times New Roman" w:cs="Times New Roman"/>
          <w:bCs/>
          <w:color w:val="000000"/>
          <w:sz w:val="24"/>
        </w:rPr>
      </w:pPr>
      <w:r>
        <w:rPr>
          <w:rFonts w:ascii="Times New Roman" w:hAnsi="Times New Roman" w:cs="Times New Roman"/>
          <w:sz w:val="24"/>
          <w:szCs w:val="24"/>
        </w:rPr>
        <w:t>本基金实施</w:t>
      </w:r>
      <w:proofErr w:type="gramStart"/>
      <w:r>
        <w:rPr>
          <w:rFonts w:ascii="Times New Roman" w:hAnsi="Times New Roman" w:cs="Times New Roman"/>
          <w:sz w:val="24"/>
          <w:szCs w:val="24"/>
        </w:rPr>
        <w:t>侧袋机制</w:t>
      </w:r>
      <w:proofErr w:type="gramEnd"/>
      <w:r>
        <w:rPr>
          <w:rFonts w:ascii="Times New Roman" w:hAnsi="Times New Roman" w:cs="Times New Roman"/>
          <w:sz w:val="24"/>
          <w:szCs w:val="24"/>
        </w:rPr>
        <w:t>的，应根据本部分的约定</w:t>
      </w:r>
      <w:proofErr w:type="gramStart"/>
      <w:r>
        <w:rPr>
          <w:rFonts w:ascii="Times New Roman" w:hAnsi="Times New Roman" w:cs="Times New Roman"/>
          <w:sz w:val="24"/>
          <w:szCs w:val="24"/>
        </w:rPr>
        <w:t>对主袋账户</w:t>
      </w:r>
      <w:proofErr w:type="gramEnd"/>
      <w:r>
        <w:rPr>
          <w:rFonts w:ascii="Times New Roman" w:hAnsi="Times New Roman" w:cs="Times New Roman"/>
          <w:sz w:val="24"/>
          <w:szCs w:val="24"/>
        </w:rPr>
        <w:t>资产进行估值并</w:t>
      </w:r>
      <w:proofErr w:type="gramStart"/>
      <w:r>
        <w:rPr>
          <w:rFonts w:ascii="Times New Roman" w:hAnsi="Times New Roman" w:cs="Times New Roman"/>
          <w:sz w:val="24"/>
          <w:szCs w:val="24"/>
        </w:rPr>
        <w:t>披露主袋账户</w:t>
      </w:r>
      <w:proofErr w:type="gramEnd"/>
      <w:r>
        <w:rPr>
          <w:rFonts w:ascii="Times New Roman" w:hAnsi="Times New Roman" w:cs="Times New Roman"/>
          <w:sz w:val="24"/>
          <w:szCs w:val="24"/>
        </w:rPr>
        <w:t>的基金净值信息，暂停</w:t>
      </w:r>
      <w:proofErr w:type="gramStart"/>
      <w:r>
        <w:rPr>
          <w:rFonts w:ascii="Times New Roman" w:hAnsi="Times New Roman" w:cs="Times New Roman"/>
          <w:sz w:val="24"/>
          <w:szCs w:val="24"/>
        </w:rPr>
        <w:t>披露</w:t>
      </w:r>
      <w:r>
        <w:rPr>
          <w:rFonts w:ascii="Times New Roman" w:hAnsi="Times New Roman" w:cs="Times New Roman"/>
          <w:sz w:val="24"/>
        </w:rPr>
        <w:t>侧袋账户</w:t>
      </w:r>
      <w:proofErr w:type="gramEnd"/>
      <w:r>
        <w:rPr>
          <w:rFonts w:ascii="Times New Roman" w:hAnsi="Times New Roman" w:cs="Times New Roman"/>
          <w:sz w:val="24"/>
        </w:rPr>
        <w:t>基金份额净值。</w:t>
      </w:r>
    </w:p>
    <w:p w14:paraId="4C4CDAA9"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（六）基金会计制度</w:t>
      </w:r>
    </w:p>
    <w:p w14:paraId="3B6D702B"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按国家有关部门规定的会计制度执行。</w:t>
      </w:r>
    </w:p>
    <w:p w14:paraId="7074F53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（七）基金账册的建立</w:t>
      </w:r>
    </w:p>
    <w:p w14:paraId="51F11A46"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lastRenderedPageBreak/>
        <w:t>基金管理人进行基金会计核算并编制基金财务会计报告。基金管理人独立地设置、记录和保管本基金的全套账册。</w:t>
      </w:r>
      <w:proofErr w:type="gramStart"/>
      <w:r>
        <w:rPr>
          <w:rFonts w:ascii="Times New Roman" w:hAnsi="Times New Roman" w:cs="Times New Roman"/>
          <w:sz w:val="24"/>
          <w:szCs w:val="24"/>
        </w:rPr>
        <w:t>若基金</w:t>
      </w:r>
      <w:proofErr w:type="gramEnd"/>
      <w:r>
        <w:rPr>
          <w:rFonts w:ascii="Times New Roman" w:hAnsi="Times New Roman" w:cs="Times New Roman"/>
          <w:sz w:val="24"/>
          <w:szCs w:val="24"/>
        </w:rPr>
        <w:t>管理人和基金托管人对会计处理方法存在分歧，应以基金管理人的处理方法为准。若当日核对不符，暂时无法查找到错账的原因而影响到基金净值的计算和公告的，以基金管理人的账册为准。</w:t>
      </w:r>
    </w:p>
    <w:p w14:paraId="2989C5A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（八）基金财务报表与报告的编制和复核</w:t>
      </w:r>
    </w:p>
    <w:p w14:paraId="257133F3"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．财务报表的编制</w:t>
      </w:r>
    </w:p>
    <w:p w14:paraId="02E2AA4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基金财务报表由基金管理人编制，基金托管人复核。</w:t>
      </w:r>
    </w:p>
    <w:p w14:paraId="4CAC0837"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．报表复核</w:t>
      </w:r>
    </w:p>
    <w:p w14:paraId="7EC40151"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基金托管人在收到基金管理人编制的基金财务报表后，进行独立的复核。核对不符时，应及时通知基金管理人共同查出原因，进行调整，直至双方数据完全一致。</w:t>
      </w:r>
    </w:p>
    <w:p w14:paraId="40738161"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．财务报表的编制与复核时间安排</w:t>
      </w:r>
    </w:p>
    <w:p w14:paraId="2A3730F2"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）报表的编制</w:t>
      </w:r>
    </w:p>
    <w:p w14:paraId="225D6B10"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color w:val="000000"/>
          <w:sz w:val="24"/>
          <w:szCs w:val="24"/>
        </w:rPr>
        <w:t>基金管理人应当在每月结束后</w:t>
      </w:r>
      <w:r>
        <w:rPr>
          <w:rFonts w:ascii="Times New Roman" w:hAnsi="Times New Roman" w:cs="Times New Roman"/>
          <w:color w:val="000000"/>
          <w:sz w:val="24"/>
          <w:szCs w:val="24"/>
        </w:rPr>
        <w:t>5</w:t>
      </w:r>
      <w:r>
        <w:rPr>
          <w:rFonts w:ascii="Times New Roman" w:hAnsi="Times New Roman" w:cs="Times New Roman"/>
          <w:color w:val="000000"/>
          <w:sz w:val="24"/>
          <w:szCs w:val="24"/>
        </w:rPr>
        <w:t>个工作日内完成月度报表的编制；在每个季度结束之日起</w:t>
      </w:r>
      <w:r>
        <w:rPr>
          <w:rFonts w:ascii="Times New Roman" w:hAnsi="Times New Roman" w:cs="Times New Roman"/>
          <w:color w:val="000000"/>
          <w:sz w:val="24"/>
          <w:szCs w:val="24"/>
        </w:rPr>
        <w:t>15</w:t>
      </w:r>
      <w:r>
        <w:rPr>
          <w:rFonts w:ascii="Times New Roman" w:hAnsi="Times New Roman" w:cs="Times New Roman"/>
          <w:color w:val="000000"/>
          <w:sz w:val="24"/>
          <w:szCs w:val="24"/>
        </w:rPr>
        <w:t>个工作日内完成基金季度报告的编制并公告；在上半年结束之日起两个月内完成基金中期报告的编制并公告；在每年结束之日起三个月内完成基金年度报告的编制并公告。基金年度报告的财务会计报告应当经过</w:t>
      </w:r>
      <w:r>
        <w:rPr>
          <w:rFonts w:ascii="Times New Roman" w:hAnsi="Times New Roman" w:cs="Times New Roman"/>
          <w:bCs/>
          <w:color w:val="000000"/>
          <w:sz w:val="24"/>
          <w:szCs w:val="24"/>
        </w:rPr>
        <w:t>符合《中华人民共和国证券法》规定的会计师事务所</w:t>
      </w:r>
      <w:r>
        <w:rPr>
          <w:rFonts w:ascii="Times New Roman" w:hAnsi="Times New Roman" w:cs="Times New Roman"/>
          <w:color w:val="000000"/>
          <w:sz w:val="24"/>
          <w:szCs w:val="24"/>
        </w:rPr>
        <w:t>审计。基金合同生效不足两个月的，基金管理人可以不编制当期季度报告、中期报告或者年度报告。</w:t>
      </w:r>
    </w:p>
    <w:p w14:paraId="74E112A9"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）报表的复核</w:t>
      </w:r>
    </w:p>
    <w:p w14:paraId="7995D307"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3CDBAA5"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基金管理人应留足充分的时间，便于基金托管人复核相关报表及报告。</w:t>
      </w:r>
    </w:p>
    <w:p w14:paraId="067DEC3D" w14:textId="77777777" w:rsidR="00BB7E47" w:rsidRDefault="005406F2">
      <w:pPr>
        <w:spacing w:afterLines="100" w:after="312" w:line="360" w:lineRule="auto"/>
        <w:jc w:val="center"/>
        <w:outlineLvl w:val="0"/>
        <w:rPr>
          <w:rFonts w:ascii="Times New Roman" w:hAnsi="Times New Roman" w:cs="Times New Roman"/>
          <w:b/>
          <w:sz w:val="30"/>
          <w:szCs w:val="30"/>
        </w:rPr>
      </w:pPr>
      <w:r>
        <w:rPr>
          <w:rFonts w:ascii="Times New Roman" w:hAnsi="Times New Roman" w:cs="Times New Roman"/>
          <w:sz w:val="24"/>
          <w:szCs w:val="24"/>
        </w:rPr>
        <w:br w:type="page"/>
      </w:r>
      <w:bookmarkStart w:id="11" w:name="_Toc440289538"/>
      <w:r>
        <w:rPr>
          <w:rFonts w:ascii="Times New Roman" w:hAnsi="Times New Roman" w:cs="Times New Roman"/>
          <w:b/>
          <w:sz w:val="30"/>
          <w:szCs w:val="30"/>
        </w:rPr>
        <w:lastRenderedPageBreak/>
        <w:t>九、基金收益分配</w:t>
      </w:r>
      <w:bookmarkEnd w:id="11"/>
    </w:p>
    <w:p w14:paraId="27DC9EA7"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基金收益分配是指按规定将基金的可分配收益按基金份额进行比例分配。</w:t>
      </w:r>
    </w:p>
    <w:p w14:paraId="55BF32E0"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（一）基金收益分配的原则</w:t>
      </w:r>
    </w:p>
    <w:p w14:paraId="230F9CC9"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基金收益分配应遵循下列原则：</w:t>
      </w:r>
    </w:p>
    <w:p w14:paraId="28FE8398"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、在符合有关基金分红条件的前提下，本基金管理人可以根据实际情况进行收益分配，具体分配方案以公告为准，若《基金合同》生效不满</w:t>
      </w:r>
      <w:r>
        <w:rPr>
          <w:rFonts w:ascii="Times New Roman" w:hAnsi="Times New Roman" w:cs="Times New Roman"/>
          <w:sz w:val="24"/>
          <w:szCs w:val="24"/>
        </w:rPr>
        <w:t>3</w:t>
      </w:r>
      <w:r>
        <w:rPr>
          <w:rFonts w:ascii="Times New Roman" w:hAnsi="Times New Roman" w:cs="Times New Roman"/>
          <w:sz w:val="24"/>
          <w:szCs w:val="24"/>
        </w:rPr>
        <w:t>个月可不进行收益分配；</w:t>
      </w:r>
    </w:p>
    <w:p w14:paraId="470B1704" w14:textId="3E0F9ADB"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、本基金收益分配方式分两种：现金分红与红利再投资，投资者可选择现金红利或将现金红利自动转为基金份额进行再投资；若投资者不选择，本基金默认的收益分配方式是现金分红；</w:t>
      </w:r>
    </w:p>
    <w:p w14:paraId="0F7EC228" w14:textId="179518B8"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、基金收益分配后基金份额净值不能低于面值；即基金收益分配基准日的基金份额净值减去每单位基金份额收益分配金额后不能低于面值；</w:t>
      </w:r>
    </w:p>
    <w:p w14:paraId="0CEB39DF" w14:textId="66B04B6D"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hint="eastAsia"/>
          <w:sz w:val="24"/>
          <w:szCs w:val="24"/>
        </w:rPr>
        <w:t>本基金</w:t>
      </w:r>
      <w:r>
        <w:rPr>
          <w:rFonts w:ascii="Times New Roman" w:hAnsi="Times New Roman" w:cs="Times New Roman"/>
          <w:sz w:val="24"/>
          <w:szCs w:val="24"/>
        </w:rPr>
        <w:t>每一基金份额享有同等分配权；</w:t>
      </w:r>
    </w:p>
    <w:p w14:paraId="3717E279"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、法律法规或监管机关另有规定的，从其规定。</w:t>
      </w:r>
    </w:p>
    <w:p w14:paraId="2A581A38"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在不违反法律法规的规定、《基金合同》的约定以及对基金份额持有人利益无实质不利影响的前提下，基金管理人可对基金收益分配原则进行调整，不需召开基金份额持有人大会。</w:t>
      </w:r>
    </w:p>
    <w:p w14:paraId="10F29D27"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（二）基金收益分配方案的制定和实施程序</w:t>
      </w:r>
    </w:p>
    <w:p w14:paraId="4683AD98"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本基金收益分配方案由基金管理人拟定，并由基金托管人复核，依照《信息披露办法》的有关规定在规定媒介公告。</w:t>
      </w:r>
    </w:p>
    <w:p w14:paraId="44A7848C"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基金管理人向基金托管人下达收益分配的付款指令，基金托管人按指令将收益分配的全部资金划入基金管理人的指定账户。</w:t>
      </w:r>
    </w:p>
    <w:p w14:paraId="6994D103"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（三）实施</w:t>
      </w:r>
      <w:proofErr w:type="gramStart"/>
      <w:r>
        <w:rPr>
          <w:rFonts w:ascii="Times New Roman" w:hAnsi="Times New Roman" w:cs="Times New Roman"/>
          <w:sz w:val="24"/>
          <w:szCs w:val="24"/>
        </w:rPr>
        <w:t>侧袋机制</w:t>
      </w:r>
      <w:proofErr w:type="gramEnd"/>
      <w:r>
        <w:rPr>
          <w:rFonts w:ascii="Times New Roman" w:hAnsi="Times New Roman" w:cs="Times New Roman"/>
          <w:sz w:val="24"/>
          <w:szCs w:val="24"/>
        </w:rPr>
        <w:t>期间的收益分配</w:t>
      </w:r>
    </w:p>
    <w:p w14:paraId="0D235E59"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lastRenderedPageBreak/>
        <w:t>本基金实施</w:t>
      </w:r>
      <w:proofErr w:type="gramStart"/>
      <w:r>
        <w:rPr>
          <w:rFonts w:ascii="Times New Roman" w:hAnsi="Times New Roman" w:cs="Times New Roman"/>
          <w:sz w:val="24"/>
          <w:szCs w:val="24"/>
        </w:rPr>
        <w:t>侧袋机制</w:t>
      </w:r>
      <w:proofErr w:type="gramEnd"/>
      <w:r>
        <w:rPr>
          <w:rFonts w:ascii="Times New Roman" w:hAnsi="Times New Roman" w:cs="Times New Roman"/>
          <w:sz w:val="24"/>
          <w:szCs w:val="24"/>
        </w:rPr>
        <w:t>的，</w:t>
      </w:r>
      <w:proofErr w:type="gramStart"/>
      <w:r>
        <w:rPr>
          <w:rFonts w:ascii="Times New Roman" w:hAnsi="Times New Roman" w:cs="Times New Roman"/>
          <w:sz w:val="24"/>
          <w:szCs w:val="24"/>
        </w:rPr>
        <w:t>侧袋账户</w:t>
      </w:r>
      <w:proofErr w:type="gramEnd"/>
      <w:r>
        <w:rPr>
          <w:rFonts w:ascii="Times New Roman" w:hAnsi="Times New Roman" w:cs="Times New Roman"/>
          <w:sz w:val="24"/>
          <w:szCs w:val="24"/>
        </w:rPr>
        <w:t>不进行收益分配，详见招募说明书的规定或相关公告。</w:t>
      </w:r>
    </w:p>
    <w:p w14:paraId="20E73248" w14:textId="77777777" w:rsidR="00BB7E47" w:rsidRDefault="005406F2">
      <w:pPr>
        <w:spacing w:afterLines="100" w:after="312" w:line="360" w:lineRule="auto"/>
        <w:jc w:val="center"/>
        <w:outlineLvl w:val="0"/>
        <w:rPr>
          <w:rFonts w:ascii="Times New Roman" w:hAnsi="Times New Roman" w:cs="Times New Roman"/>
          <w:b/>
          <w:sz w:val="30"/>
          <w:szCs w:val="30"/>
        </w:rPr>
      </w:pPr>
      <w:r>
        <w:rPr>
          <w:rFonts w:ascii="Times New Roman" w:hAnsi="Times New Roman" w:cs="Times New Roman"/>
          <w:szCs w:val="21"/>
        </w:rPr>
        <w:br w:type="page"/>
      </w:r>
      <w:bookmarkStart w:id="12" w:name="_Toc440289539"/>
      <w:r>
        <w:rPr>
          <w:rFonts w:ascii="Times New Roman" w:hAnsi="Times New Roman" w:cs="Times New Roman"/>
          <w:b/>
          <w:sz w:val="30"/>
          <w:szCs w:val="30"/>
        </w:rPr>
        <w:lastRenderedPageBreak/>
        <w:t>十、基金信息披露</w:t>
      </w:r>
      <w:bookmarkEnd w:id="12"/>
    </w:p>
    <w:p w14:paraId="6080C59A"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（一）保密义务</w:t>
      </w:r>
    </w:p>
    <w:p w14:paraId="47298FCB"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07E3956"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．非因基金管理人和基金托管人的原因导致保密信息被披露、泄露或公开；</w:t>
      </w:r>
    </w:p>
    <w:p w14:paraId="256A62DF"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．基金管理人和基金托管人为遵守和服从法院判决或裁定、仲裁裁决或中国证监会等监管机构的命令、决定所做出的信息披露或公开。</w:t>
      </w:r>
    </w:p>
    <w:p w14:paraId="7D5FDB8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（二）信息披露的内容</w:t>
      </w:r>
    </w:p>
    <w:p w14:paraId="6176A88E" w14:textId="776068A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基金的信息披露内容主要包括基金招募说明书、基金合同、基金托管协议、</w:t>
      </w:r>
      <w:r>
        <w:rPr>
          <w:rFonts w:ascii="Times New Roman" w:hAnsi="Times New Roman" w:cs="Times New Roman" w:hint="eastAsia"/>
          <w:sz w:val="24"/>
          <w:szCs w:val="24"/>
        </w:rPr>
        <w:t>基金产品资料概要、</w:t>
      </w:r>
      <w:r>
        <w:rPr>
          <w:rFonts w:ascii="Times New Roman" w:hAnsi="Times New Roman" w:cs="Times New Roman"/>
          <w:sz w:val="24"/>
          <w:szCs w:val="24"/>
        </w:rPr>
        <w:t>基金份额发售公告、基金合同生效公告、基金净值公告、基金份额申购、赎回价格、基金定期报告（包括基金年度报告、基金中期报告和基金季度报告）、临时报告、澄清公告、</w:t>
      </w:r>
      <w:r>
        <w:rPr>
          <w:rFonts w:ascii="Times New Roman" w:hAnsi="Times New Roman" w:cs="Times New Roman" w:hint="eastAsia"/>
          <w:sz w:val="24"/>
          <w:szCs w:val="24"/>
        </w:rPr>
        <w:t>基金份额持有人大会决议、</w:t>
      </w:r>
      <w:r>
        <w:rPr>
          <w:rFonts w:ascii="Times New Roman" w:hAnsi="Times New Roman" w:cs="Times New Roman"/>
          <w:sz w:val="24"/>
          <w:szCs w:val="24"/>
        </w:rPr>
        <w:t>基金清算报告、实施</w:t>
      </w:r>
      <w:proofErr w:type="gramStart"/>
      <w:r>
        <w:rPr>
          <w:rFonts w:ascii="Times New Roman" w:hAnsi="Times New Roman" w:cs="Times New Roman"/>
          <w:sz w:val="24"/>
          <w:szCs w:val="24"/>
        </w:rPr>
        <w:t>侧袋机制</w:t>
      </w:r>
      <w:proofErr w:type="gramEnd"/>
      <w:r>
        <w:rPr>
          <w:rFonts w:ascii="Times New Roman" w:hAnsi="Times New Roman" w:cs="Times New Roman"/>
          <w:sz w:val="24"/>
          <w:szCs w:val="24"/>
        </w:rPr>
        <w:t>期间的信息披露及中国证监会规定的其他信息及中国证监会规定的其他信息。基金年度报告中的财务会计报告需</w:t>
      </w:r>
      <w:proofErr w:type="gramStart"/>
      <w:r>
        <w:rPr>
          <w:rFonts w:ascii="Times New Roman" w:hAnsi="Times New Roman" w:cs="Times New Roman"/>
          <w:sz w:val="24"/>
          <w:szCs w:val="24"/>
        </w:rPr>
        <w:t>经符合</w:t>
      </w:r>
      <w:proofErr w:type="gramEnd"/>
      <w:r>
        <w:rPr>
          <w:rFonts w:ascii="Times New Roman" w:hAnsi="Times New Roman" w:cs="Times New Roman"/>
          <w:sz w:val="24"/>
          <w:szCs w:val="24"/>
        </w:rPr>
        <w:t>《中华人民共和国证券法》规定的会计师事务所审计后，方可披露。</w:t>
      </w:r>
    </w:p>
    <w:p w14:paraId="202D4500"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（三）基金托管人和基金管理人在信息披露中的职责和信息披露程序</w:t>
      </w:r>
    </w:p>
    <w:p w14:paraId="03BCDCAE"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．职责</w:t>
      </w:r>
    </w:p>
    <w:p w14:paraId="7F6AC437"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3DF67D59"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lastRenderedPageBreak/>
        <w:t>对于不需要基金托管人（或基金管理人）复核的信息，基金管理人（或基金托管人）在公告前应告知基金托管人（或基金管理人）。</w:t>
      </w:r>
    </w:p>
    <w:p w14:paraId="3433937A"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基金管理人和基金托管人应积极配合、互相监督，保证按照法定方式和时限履行信息披露义务。</w:t>
      </w:r>
    </w:p>
    <w:p w14:paraId="39AD887C"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基金管理人应当在中国证监会规定的时间内，将应予披露的基金信息通过中国证监会规定媒介披露。根据法律法规应由基金托管人公开披露的信息，基金托管人将根据《信息披露办法》的规定进行公开披露。</w:t>
      </w:r>
    </w:p>
    <w:p w14:paraId="5159DCBB"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当出现下述情况时，基金管理人和基金托管人可暂停或延迟披露基金相关信息：</w:t>
      </w:r>
    </w:p>
    <w:p w14:paraId="7F75CA0C"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）基金投资所涉及的证券交易市场遇法定节假日或因其他原因暂停营业时；</w:t>
      </w:r>
    </w:p>
    <w:p w14:paraId="64D51F93"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）因不可抗力或其他情形致使基金管理人、基金托管人无法准确评估基金资产价值时；</w:t>
      </w:r>
    </w:p>
    <w:p w14:paraId="5F2935EC"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）出现《基金合同》约定的暂停估值的情形时；</w:t>
      </w:r>
    </w:p>
    <w:p w14:paraId="4B0691A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）法律法规规定、中国证监会或《基金合同》认定的其他情形。</w:t>
      </w:r>
    </w:p>
    <w:p w14:paraId="560F65C0"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．程序</w:t>
      </w:r>
    </w:p>
    <w:p w14:paraId="27BF50AA"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按有关规定须经基金托管人复核的信息披露文件，由基金管理人起草、并经基金托管人复核后由基金管理人公告。发生基金合同中规定需要披露的事项时，按基金合同规定公布。</w:t>
      </w:r>
    </w:p>
    <w:p w14:paraId="71866265"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．信息文本的存放</w:t>
      </w:r>
    </w:p>
    <w:p w14:paraId="4B79B853" w14:textId="77777777" w:rsidR="00BB7E47" w:rsidRDefault="005406F2">
      <w:pPr>
        <w:spacing w:line="360" w:lineRule="auto"/>
        <w:ind w:firstLine="480"/>
        <w:rPr>
          <w:rFonts w:ascii="Times New Roman" w:hAnsi="Times New Roman" w:cs="Times New Roman"/>
          <w:color w:val="000000"/>
          <w:sz w:val="24"/>
          <w:szCs w:val="24"/>
        </w:rPr>
      </w:pPr>
      <w:r>
        <w:rPr>
          <w:rFonts w:ascii="Times New Roman" w:hAnsi="Times New Roman" w:cs="Times New Roman"/>
          <w:color w:val="000000"/>
          <w:sz w:val="24"/>
          <w:szCs w:val="24"/>
        </w:rPr>
        <w:t>依法必须披露的信息发布后，基金管理人、基金托管人应当按照相关法律法规规定将信息置备于各自住所，供社会公众查阅、复制。基金管理人和基金托管人应保证文本的内容与所公告的内容完全一致。</w:t>
      </w:r>
    </w:p>
    <w:p w14:paraId="17A116E8"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（四）实施</w:t>
      </w:r>
      <w:proofErr w:type="gramStart"/>
      <w:r>
        <w:rPr>
          <w:rFonts w:ascii="Times New Roman" w:hAnsi="Times New Roman" w:cs="Times New Roman"/>
          <w:sz w:val="24"/>
          <w:szCs w:val="24"/>
        </w:rPr>
        <w:t>侧袋机制</w:t>
      </w:r>
      <w:proofErr w:type="gramEnd"/>
      <w:r>
        <w:rPr>
          <w:rFonts w:ascii="Times New Roman" w:hAnsi="Times New Roman" w:cs="Times New Roman"/>
          <w:sz w:val="24"/>
          <w:szCs w:val="24"/>
        </w:rPr>
        <w:t>期间的信息披露</w:t>
      </w:r>
    </w:p>
    <w:p w14:paraId="19F87217"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lastRenderedPageBreak/>
        <w:t>本基金实施</w:t>
      </w:r>
      <w:proofErr w:type="gramStart"/>
      <w:r>
        <w:rPr>
          <w:rFonts w:ascii="Times New Roman" w:hAnsi="Times New Roman" w:cs="Times New Roman"/>
          <w:sz w:val="24"/>
          <w:szCs w:val="24"/>
        </w:rPr>
        <w:t>侧袋机制</w:t>
      </w:r>
      <w:proofErr w:type="gramEnd"/>
      <w:r>
        <w:rPr>
          <w:rFonts w:ascii="Times New Roman" w:hAnsi="Times New Roman" w:cs="Times New Roman"/>
          <w:sz w:val="24"/>
          <w:szCs w:val="24"/>
        </w:rPr>
        <w:t>的，相关信息披露义务人应当根据法律法规、基金合同和招募说明书的规定进行信息披露，详见招募说明书的规定。</w:t>
      </w:r>
    </w:p>
    <w:p w14:paraId="6B3D8B7C" w14:textId="77777777" w:rsidR="00BB7E47" w:rsidRDefault="005406F2">
      <w:pPr>
        <w:widowControl/>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bookmarkStart w:id="13" w:name="_Toc440289541"/>
      <w:bookmarkStart w:id="14" w:name="_Toc440289540"/>
      <w:r>
        <w:rPr>
          <w:rFonts w:ascii="Times New Roman" w:hAnsi="Times New Roman" w:cs="Times New Roman"/>
          <w:sz w:val="24"/>
          <w:szCs w:val="24"/>
        </w:rPr>
        <w:br w:type="page"/>
      </w:r>
    </w:p>
    <w:p w14:paraId="331CF78E" w14:textId="77777777" w:rsidR="00BB7E47" w:rsidRDefault="005406F2">
      <w:pPr>
        <w:spacing w:afterLines="100" w:after="312" w:line="360" w:lineRule="auto"/>
        <w:jc w:val="center"/>
        <w:outlineLvl w:val="0"/>
        <w:rPr>
          <w:rFonts w:ascii="Times New Roman" w:hAnsi="Times New Roman" w:cs="Times New Roman"/>
        </w:rPr>
      </w:pPr>
      <w:r>
        <w:rPr>
          <w:rFonts w:ascii="Times New Roman" w:hAnsi="Times New Roman" w:cs="Times New Roman"/>
          <w:b/>
          <w:sz w:val="30"/>
          <w:szCs w:val="30"/>
        </w:rPr>
        <w:lastRenderedPageBreak/>
        <w:t>十一、基金费用</w:t>
      </w:r>
      <w:bookmarkEnd w:id="13"/>
      <w:bookmarkEnd w:id="14"/>
    </w:p>
    <w:p w14:paraId="7951BE73"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（一）基金管理费的计提比例和计提方法</w:t>
      </w:r>
    </w:p>
    <w:p w14:paraId="50044700"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本基金的管理费按前一日基金资产净值的</w:t>
      </w:r>
      <w:r>
        <w:rPr>
          <w:rFonts w:ascii="Times New Roman" w:hAnsi="Times New Roman" w:cs="Times New Roman"/>
          <w:bCs/>
          <w:sz w:val="24"/>
          <w:szCs w:val="20"/>
        </w:rPr>
        <w:t>0.30</w:t>
      </w:r>
      <w:r>
        <w:rPr>
          <w:rFonts w:ascii="Times New Roman" w:hAnsi="Times New Roman" w:cs="Times New Roman"/>
          <w:sz w:val="24"/>
        </w:rPr>
        <w:t>%</w:t>
      </w:r>
      <w:r>
        <w:rPr>
          <w:rFonts w:ascii="Times New Roman" w:hAnsi="Times New Roman" w:cs="Times New Roman"/>
          <w:sz w:val="24"/>
        </w:rPr>
        <w:t>年费率计提。管理费的计算方法如下：</w:t>
      </w:r>
    </w:p>
    <w:p w14:paraId="4F24A357"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rPr>
        <w:t>＝</w:t>
      </w:r>
      <w:r>
        <w:rPr>
          <w:rFonts w:ascii="Times New Roman" w:hAnsi="Times New Roman" w:cs="Times New Roman"/>
          <w:sz w:val="24"/>
        </w:rPr>
        <w:t>E×</w:t>
      </w:r>
      <w:r>
        <w:rPr>
          <w:rFonts w:ascii="Times New Roman" w:hAnsi="Times New Roman" w:cs="Times New Roman"/>
          <w:bCs/>
          <w:sz w:val="24"/>
          <w:szCs w:val="20"/>
        </w:rPr>
        <w:t>0.30</w:t>
      </w:r>
      <w:r>
        <w:rPr>
          <w:rFonts w:ascii="Times New Roman" w:hAnsi="Times New Roman" w:cs="Times New Roman"/>
          <w:sz w:val="24"/>
        </w:rPr>
        <w:t>%÷</w:t>
      </w:r>
      <w:r>
        <w:rPr>
          <w:rFonts w:ascii="Times New Roman" w:hAnsi="Times New Roman" w:cs="Times New Roman"/>
          <w:sz w:val="24"/>
        </w:rPr>
        <w:t>当年天数</w:t>
      </w:r>
    </w:p>
    <w:p w14:paraId="4B9B205D"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rPr>
        <w:t>为每日应计提的基金管理费</w:t>
      </w:r>
    </w:p>
    <w:p w14:paraId="19356EDF"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为前一日的基金资产净值</w:t>
      </w:r>
    </w:p>
    <w:p w14:paraId="31EB27BF" w14:textId="77777777" w:rsidR="00BB7E47" w:rsidRDefault="005406F2">
      <w:pPr>
        <w:spacing w:line="360" w:lineRule="auto"/>
        <w:ind w:firstLine="480"/>
        <w:rPr>
          <w:rFonts w:ascii="Times New Roman" w:hAnsi="Times New Roman" w:cs="Times New Roman"/>
          <w:bCs/>
          <w:color w:val="000000"/>
          <w:sz w:val="24"/>
        </w:rPr>
      </w:pPr>
      <w:r>
        <w:rPr>
          <w:rFonts w:ascii="Times New Roman" w:hAnsi="Times New Roman" w:cs="Times New Roman"/>
          <w:bCs/>
          <w:color w:val="000000"/>
          <w:sz w:val="24"/>
        </w:rPr>
        <w:t>基金管理费每日计提，逐日累计至每月月末，按月支付。由基金托管人与基金管理人核对一致后，基金托管人根据与基金管理人协商一致的方式于次月首日起前</w:t>
      </w:r>
      <w:r>
        <w:rPr>
          <w:rFonts w:ascii="Times New Roman" w:hAnsi="Times New Roman" w:cs="Times New Roman"/>
          <w:bCs/>
          <w:color w:val="000000"/>
          <w:sz w:val="24"/>
        </w:rPr>
        <w:t>5</w:t>
      </w:r>
      <w:r>
        <w:rPr>
          <w:rFonts w:ascii="Times New Roman" w:hAnsi="Times New Roman" w:cs="Times New Roman"/>
          <w:bCs/>
          <w:color w:val="000000"/>
          <w:sz w:val="24"/>
        </w:rPr>
        <w:t>个工作日内从基金财产中一次性支付给基金管理人。若遇法定节假日、休息日或不可抗力致使无法按时支付的，顺延至最近可支付日支付。</w:t>
      </w:r>
    </w:p>
    <w:p w14:paraId="25608FD9"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（二）基金托管费的计提比例和计提方法</w:t>
      </w:r>
    </w:p>
    <w:p w14:paraId="047B39EC"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本基金的托管费按前一日基金资产净值的</w:t>
      </w:r>
      <w:r>
        <w:rPr>
          <w:rFonts w:ascii="Times New Roman" w:hAnsi="Times New Roman" w:cs="Times New Roman"/>
          <w:bCs/>
          <w:sz w:val="24"/>
          <w:szCs w:val="20"/>
        </w:rPr>
        <w:t>0.10</w:t>
      </w:r>
      <w:r>
        <w:rPr>
          <w:rFonts w:ascii="Times New Roman" w:hAnsi="Times New Roman" w:cs="Times New Roman"/>
          <w:sz w:val="24"/>
        </w:rPr>
        <w:t>%</w:t>
      </w:r>
      <w:r>
        <w:rPr>
          <w:rFonts w:ascii="Times New Roman" w:hAnsi="Times New Roman" w:cs="Times New Roman"/>
          <w:sz w:val="24"/>
        </w:rPr>
        <w:t>的年费率计提。托管费的计算方法如下：</w:t>
      </w:r>
    </w:p>
    <w:p w14:paraId="0669CE28"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rPr>
        <w:t>＝</w:t>
      </w:r>
      <w:r>
        <w:rPr>
          <w:rFonts w:ascii="Times New Roman" w:hAnsi="Times New Roman" w:cs="Times New Roman"/>
          <w:sz w:val="24"/>
        </w:rPr>
        <w:t>E×</w:t>
      </w:r>
      <w:r>
        <w:rPr>
          <w:rFonts w:ascii="Times New Roman" w:hAnsi="Times New Roman" w:cs="Times New Roman"/>
          <w:bCs/>
          <w:sz w:val="24"/>
          <w:szCs w:val="20"/>
        </w:rPr>
        <w:t>0.10</w:t>
      </w:r>
      <w:r>
        <w:rPr>
          <w:rFonts w:ascii="Times New Roman" w:hAnsi="Times New Roman" w:cs="Times New Roman"/>
          <w:sz w:val="24"/>
        </w:rPr>
        <w:t>%÷</w:t>
      </w:r>
      <w:r>
        <w:rPr>
          <w:rFonts w:ascii="Times New Roman" w:hAnsi="Times New Roman" w:cs="Times New Roman"/>
          <w:sz w:val="24"/>
        </w:rPr>
        <w:t>当年天数</w:t>
      </w:r>
    </w:p>
    <w:p w14:paraId="24168995"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rPr>
        <w:t>为每日应计提的基金托管费</w:t>
      </w:r>
    </w:p>
    <w:p w14:paraId="0FA8E3B0"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为前一日的基金资产净值</w:t>
      </w:r>
    </w:p>
    <w:p w14:paraId="5D338026" w14:textId="77777777" w:rsidR="00BB7E47" w:rsidRDefault="005406F2">
      <w:pPr>
        <w:spacing w:line="360" w:lineRule="auto"/>
        <w:ind w:firstLine="480"/>
        <w:rPr>
          <w:rFonts w:ascii="Times New Roman" w:hAnsi="Times New Roman" w:cs="Times New Roman"/>
          <w:bCs/>
          <w:color w:val="000000"/>
          <w:sz w:val="24"/>
        </w:rPr>
      </w:pPr>
      <w:r>
        <w:rPr>
          <w:rFonts w:ascii="Times New Roman" w:hAnsi="Times New Roman" w:cs="Times New Roman"/>
          <w:bCs/>
          <w:color w:val="000000"/>
          <w:sz w:val="24"/>
        </w:rPr>
        <w:t>基金托管费每日计提，逐日累计至每月月末，按月支付。由基金托管人与基金管理人核对一致后，基金托管人根据与基金管理人协商一致的方式于次月首日起前</w:t>
      </w:r>
      <w:r>
        <w:rPr>
          <w:rFonts w:ascii="Times New Roman" w:hAnsi="Times New Roman" w:cs="Times New Roman"/>
          <w:bCs/>
          <w:color w:val="000000"/>
          <w:sz w:val="24"/>
        </w:rPr>
        <w:t>5</w:t>
      </w:r>
      <w:r>
        <w:rPr>
          <w:rFonts w:ascii="Times New Roman" w:hAnsi="Times New Roman" w:cs="Times New Roman"/>
          <w:bCs/>
          <w:color w:val="000000"/>
          <w:sz w:val="24"/>
        </w:rPr>
        <w:t>个工作日内从基金财产中一次性支取。若遇法定节假日、休息日或不可抗力致使无法按时支付的，顺延至最近可支付日支付。</w:t>
      </w:r>
    </w:p>
    <w:p w14:paraId="7D44592B" w14:textId="719518F3"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（三）</w:t>
      </w:r>
      <w:r>
        <w:rPr>
          <w:rFonts w:ascii="Times New Roman" w:hAnsi="Times New Roman" w:cs="Times New Roman" w:hint="eastAsia"/>
          <w:sz w:val="24"/>
          <w:szCs w:val="24"/>
        </w:rPr>
        <w:t>基金合同生效后与基金相关的信息披露费用（但法律法规或中国证监会另有规定的除外）、基金合同生效后与基金有关的会计师费、律师费、公</w:t>
      </w:r>
      <w:r>
        <w:rPr>
          <w:rFonts w:ascii="Times New Roman" w:hAnsi="Times New Roman" w:cs="Times New Roman" w:hint="eastAsia"/>
          <w:sz w:val="24"/>
          <w:szCs w:val="24"/>
        </w:rPr>
        <w:lastRenderedPageBreak/>
        <w:t>证费、仲裁费和诉讼费、基金份额持有人大会费用、基金的证券交易费用或结算费用、基金的银行汇划费用、基金相关账户的开户、维护费用</w:t>
      </w:r>
      <w:r>
        <w:rPr>
          <w:rFonts w:ascii="Times New Roman" w:hAnsi="Times New Roman" w:cs="Times New Roman"/>
          <w:sz w:val="24"/>
          <w:szCs w:val="24"/>
        </w:rPr>
        <w:t>等根据有关法律法规、基金合同及相应协议的规定，列入当期基金费用。</w:t>
      </w:r>
    </w:p>
    <w:p w14:paraId="421DC001"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四</w:t>
      </w:r>
      <w:r>
        <w:rPr>
          <w:rFonts w:ascii="Times New Roman" w:hAnsi="Times New Roman" w:cs="Times New Roman"/>
          <w:sz w:val="24"/>
          <w:szCs w:val="24"/>
        </w:rPr>
        <w:t>）不列入基金费用的项目</w:t>
      </w:r>
    </w:p>
    <w:p w14:paraId="0A5BCA19"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、基金管理人和基金托管人因未履行或未完全履行义务导致的费用支出或基金财产的损失；</w:t>
      </w:r>
    </w:p>
    <w:p w14:paraId="7E64CB7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、基金管理人和基金托管人处理与基金运作无关的事项发生的费用；</w:t>
      </w:r>
    </w:p>
    <w:p w14:paraId="7BDF7344"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、基金合同生效前的相关费用；</w:t>
      </w:r>
    </w:p>
    <w:p w14:paraId="4655F775"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、其他根据相关法律法规及中国证监会的有关规定不得列入基金费用的项目。</w:t>
      </w:r>
    </w:p>
    <w:p w14:paraId="6B0311C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五</w:t>
      </w:r>
      <w:r>
        <w:rPr>
          <w:rFonts w:ascii="Times New Roman" w:hAnsi="Times New Roman" w:cs="Times New Roman"/>
          <w:sz w:val="24"/>
          <w:szCs w:val="24"/>
        </w:rPr>
        <w:t>）基金管理费和基金托管费的复核程序</w:t>
      </w:r>
    </w:p>
    <w:p w14:paraId="6FCEDE8E"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基金托管人对基金管理人计提的基金管理费和基金托管费等，根据本托管协议和基金合同的有关规定进行复核。</w:t>
      </w:r>
    </w:p>
    <w:p w14:paraId="6E3CDBCE"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六</w:t>
      </w:r>
      <w:r>
        <w:rPr>
          <w:rFonts w:ascii="Times New Roman" w:hAnsi="Times New Roman" w:cs="Times New Roman"/>
          <w:sz w:val="24"/>
          <w:szCs w:val="24"/>
        </w:rPr>
        <w:t>）违规处理方式</w:t>
      </w:r>
    </w:p>
    <w:p w14:paraId="2FC94F2B"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8EEFCA9"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七</w:t>
      </w:r>
      <w:r>
        <w:rPr>
          <w:rFonts w:ascii="Times New Roman" w:hAnsi="Times New Roman" w:cs="Times New Roman"/>
          <w:sz w:val="24"/>
          <w:szCs w:val="24"/>
        </w:rPr>
        <w:t>）实施</w:t>
      </w:r>
      <w:proofErr w:type="gramStart"/>
      <w:r>
        <w:rPr>
          <w:rFonts w:ascii="Times New Roman" w:hAnsi="Times New Roman" w:cs="Times New Roman"/>
          <w:sz w:val="24"/>
          <w:szCs w:val="24"/>
        </w:rPr>
        <w:t>侧袋机制</w:t>
      </w:r>
      <w:proofErr w:type="gramEnd"/>
      <w:r>
        <w:rPr>
          <w:rFonts w:ascii="Times New Roman" w:hAnsi="Times New Roman" w:cs="Times New Roman"/>
          <w:sz w:val="24"/>
          <w:szCs w:val="24"/>
        </w:rPr>
        <w:t>期间的基金费用</w:t>
      </w:r>
    </w:p>
    <w:p w14:paraId="635FC9A4" w14:textId="77777777" w:rsidR="00BB7E47" w:rsidRDefault="005406F2">
      <w:pPr>
        <w:spacing w:line="360" w:lineRule="auto"/>
        <w:ind w:firstLine="480"/>
        <w:rPr>
          <w:rFonts w:ascii="Times New Roman" w:hAnsi="Times New Roman" w:cs="Times New Roman"/>
          <w:color w:val="000000"/>
          <w:sz w:val="24"/>
          <w:szCs w:val="24"/>
        </w:rPr>
      </w:pPr>
      <w:r>
        <w:rPr>
          <w:rFonts w:ascii="Times New Roman" w:hAnsi="Times New Roman" w:cs="Times New Roman"/>
          <w:sz w:val="24"/>
          <w:szCs w:val="24"/>
        </w:rPr>
        <w:t>本基金实施</w:t>
      </w:r>
      <w:proofErr w:type="gramStart"/>
      <w:r>
        <w:rPr>
          <w:rFonts w:ascii="Times New Roman" w:hAnsi="Times New Roman" w:cs="Times New Roman"/>
          <w:sz w:val="24"/>
          <w:szCs w:val="24"/>
        </w:rPr>
        <w:t>侧袋机制</w:t>
      </w:r>
      <w:proofErr w:type="gramEnd"/>
      <w:r>
        <w:rPr>
          <w:rFonts w:ascii="Times New Roman" w:hAnsi="Times New Roman" w:cs="Times New Roman"/>
          <w:sz w:val="24"/>
          <w:szCs w:val="24"/>
        </w:rPr>
        <w:t>的，</w:t>
      </w:r>
      <w:proofErr w:type="gramStart"/>
      <w:r>
        <w:rPr>
          <w:rFonts w:ascii="Times New Roman" w:hAnsi="Times New Roman" w:cs="Times New Roman"/>
          <w:sz w:val="24"/>
          <w:szCs w:val="24"/>
        </w:rPr>
        <w:t>与侧袋账户</w:t>
      </w:r>
      <w:proofErr w:type="gramEnd"/>
      <w:r>
        <w:rPr>
          <w:rFonts w:ascii="Times New Roman" w:hAnsi="Times New Roman" w:cs="Times New Roman"/>
          <w:sz w:val="24"/>
          <w:szCs w:val="24"/>
        </w:rPr>
        <w:t>有关的费用可以</w:t>
      </w:r>
      <w:proofErr w:type="gramStart"/>
      <w:r>
        <w:rPr>
          <w:rFonts w:ascii="Times New Roman" w:hAnsi="Times New Roman" w:cs="Times New Roman"/>
          <w:sz w:val="24"/>
          <w:szCs w:val="24"/>
        </w:rPr>
        <w:t>从侧袋账户</w:t>
      </w:r>
      <w:proofErr w:type="gramEnd"/>
      <w:r>
        <w:rPr>
          <w:rFonts w:ascii="Times New Roman" w:hAnsi="Times New Roman" w:cs="Times New Roman"/>
          <w:sz w:val="24"/>
          <w:szCs w:val="24"/>
        </w:rPr>
        <w:t>中列支，但应</w:t>
      </w:r>
      <w:proofErr w:type="gramStart"/>
      <w:r>
        <w:rPr>
          <w:rFonts w:ascii="Times New Roman" w:hAnsi="Times New Roman" w:cs="Times New Roman"/>
          <w:sz w:val="24"/>
          <w:szCs w:val="24"/>
        </w:rPr>
        <w:t>待侧袋</w:t>
      </w:r>
      <w:proofErr w:type="gramEnd"/>
      <w:r>
        <w:rPr>
          <w:rFonts w:ascii="Times New Roman" w:hAnsi="Times New Roman" w:cs="Times New Roman"/>
          <w:sz w:val="24"/>
          <w:szCs w:val="24"/>
        </w:rPr>
        <w:t>账户资产变现后方可列支，有关费用可酌情收取或减免，但不得收取管理费，详见招募说明书的规定或相关公告。</w:t>
      </w:r>
    </w:p>
    <w:p w14:paraId="6CC78825" w14:textId="77777777" w:rsidR="00BB7E47" w:rsidRDefault="00BB7E47">
      <w:pPr>
        <w:spacing w:line="360" w:lineRule="auto"/>
        <w:ind w:firstLine="480"/>
        <w:rPr>
          <w:rFonts w:ascii="Times New Roman" w:hAnsi="Times New Roman" w:cs="Times New Roman"/>
          <w:sz w:val="24"/>
          <w:szCs w:val="24"/>
        </w:rPr>
      </w:pPr>
    </w:p>
    <w:p w14:paraId="3DBEDF0A" w14:textId="77777777" w:rsidR="00BB7E47" w:rsidRDefault="005406F2">
      <w:pPr>
        <w:spacing w:afterLines="100" w:after="312" w:line="360" w:lineRule="auto"/>
        <w:jc w:val="center"/>
        <w:outlineLvl w:val="0"/>
        <w:rPr>
          <w:rFonts w:ascii="Times New Roman" w:hAnsi="Times New Roman" w:cs="Times New Roman"/>
          <w:b/>
          <w:sz w:val="30"/>
          <w:szCs w:val="30"/>
        </w:rPr>
      </w:pPr>
      <w:r>
        <w:rPr>
          <w:rFonts w:ascii="Times New Roman" w:hAnsi="Times New Roman" w:cs="Times New Roman"/>
          <w:sz w:val="24"/>
          <w:szCs w:val="24"/>
        </w:rPr>
        <w:br w:type="page"/>
      </w:r>
      <w:bookmarkStart w:id="15" w:name="_Toc440289542"/>
      <w:r>
        <w:rPr>
          <w:rFonts w:ascii="Times New Roman" w:hAnsi="Times New Roman" w:cs="Times New Roman"/>
          <w:b/>
          <w:sz w:val="30"/>
          <w:szCs w:val="30"/>
        </w:rPr>
        <w:lastRenderedPageBreak/>
        <w:t>十二、基金份额持有人名册的保管</w:t>
      </w:r>
      <w:bookmarkEnd w:id="15"/>
    </w:p>
    <w:p w14:paraId="5E7F562D" w14:textId="7FEB2579"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基金份额持有人名册至少应包括基金份额持有人的名称和持有的基金份额。基金份额持有人名册由基金登记机构根据基金管理人的指令编制和保管</w:t>
      </w:r>
      <w:r>
        <w:rPr>
          <w:rFonts w:ascii="Times New Roman" w:hAnsi="Times New Roman" w:cs="Times New Roman" w:hint="eastAsia"/>
          <w:sz w:val="24"/>
          <w:szCs w:val="24"/>
        </w:rPr>
        <w:t>。</w:t>
      </w:r>
      <w:r>
        <w:rPr>
          <w:rFonts w:ascii="Times New Roman" w:hAnsi="Times New Roman" w:cs="Times New Roman"/>
          <w:sz w:val="24"/>
          <w:szCs w:val="24"/>
        </w:rPr>
        <w:t>基金管理人应定期向基金托管人提供基金份额持有人名册，基金托管人得到基金管理人提供的持有人名册后与基金管理人分别进行保管。保管方式可以采用电子或文档的形式，保存期限不低于法律法规或监管机关规定的期限。如不能妥善保管，则按相关法规承担责任。</w:t>
      </w:r>
    </w:p>
    <w:p w14:paraId="5619EA7E"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3B45BE10" w14:textId="77777777" w:rsidR="00BB7E47" w:rsidRDefault="005406F2">
      <w:pPr>
        <w:spacing w:afterLines="100" w:after="312" w:line="360" w:lineRule="auto"/>
        <w:jc w:val="center"/>
        <w:outlineLvl w:val="0"/>
        <w:rPr>
          <w:rFonts w:ascii="Times New Roman" w:hAnsi="Times New Roman" w:cs="Times New Roman"/>
          <w:b/>
          <w:sz w:val="30"/>
          <w:szCs w:val="30"/>
        </w:rPr>
      </w:pPr>
      <w:r>
        <w:rPr>
          <w:rFonts w:ascii="Times New Roman" w:hAnsi="Times New Roman" w:cs="Times New Roman"/>
          <w:sz w:val="24"/>
          <w:szCs w:val="24"/>
        </w:rPr>
        <w:br w:type="page"/>
      </w:r>
      <w:bookmarkStart w:id="16" w:name="_Toc440289543"/>
      <w:r>
        <w:rPr>
          <w:rFonts w:ascii="Times New Roman" w:hAnsi="Times New Roman" w:cs="Times New Roman"/>
          <w:b/>
          <w:sz w:val="30"/>
          <w:szCs w:val="30"/>
        </w:rPr>
        <w:lastRenderedPageBreak/>
        <w:t>十三、基金有关文件档案的保存</w:t>
      </w:r>
      <w:bookmarkEnd w:id="16"/>
    </w:p>
    <w:p w14:paraId="7D9940E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（一）档案保存</w:t>
      </w:r>
    </w:p>
    <w:p w14:paraId="7B5CD17C"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或监管机关规定的期限。</w:t>
      </w:r>
    </w:p>
    <w:p w14:paraId="32DD78F6"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（二）合同档案的建立</w:t>
      </w:r>
    </w:p>
    <w:p w14:paraId="75763308"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．基金管理人签署重大合同文本后，应及时将合同文本正本送达基金托管人处。</w:t>
      </w:r>
    </w:p>
    <w:p w14:paraId="5290A68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．基金管理人应及时将与本基金账务处理、资金划拨等有关的合同、协议传真</w:t>
      </w:r>
      <w:r>
        <w:rPr>
          <w:rFonts w:ascii="Times New Roman" w:hAnsi="Times New Roman" w:cs="Times New Roman" w:hint="eastAsia"/>
          <w:sz w:val="24"/>
          <w:szCs w:val="24"/>
        </w:rPr>
        <w:t>或电子邮件扫描至</w:t>
      </w:r>
      <w:r>
        <w:rPr>
          <w:rFonts w:ascii="Times New Roman" w:hAnsi="Times New Roman" w:cs="Times New Roman"/>
          <w:sz w:val="24"/>
          <w:szCs w:val="24"/>
        </w:rPr>
        <w:t>基金托管人。</w:t>
      </w:r>
    </w:p>
    <w:p w14:paraId="125257C0"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（三）变更与协助</w:t>
      </w:r>
    </w:p>
    <w:p w14:paraId="7BFD2322" w14:textId="77777777" w:rsidR="00BB7E47" w:rsidRDefault="005406F2">
      <w:pPr>
        <w:spacing w:line="360" w:lineRule="auto"/>
        <w:ind w:firstLine="480"/>
        <w:rPr>
          <w:rFonts w:ascii="Times New Roman" w:hAnsi="Times New Roman" w:cs="Times New Roman"/>
          <w:sz w:val="24"/>
          <w:szCs w:val="24"/>
        </w:rPr>
      </w:pPr>
      <w:proofErr w:type="gramStart"/>
      <w:r>
        <w:rPr>
          <w:rFonts w:ascii="Times New Roman" w:hAnsi="Times New Roman" w:cs="Times New Roman"/>
          <w:sz w:val="24"/>
          <w:szCs w:val="24"/>
        </w:rPr>
        <w:t>若基金</w:t>
      </w:r>
      <w:proofErr w:type="gramEnd"/>
      <w:r>
        <w:rPr>
          <w:rFonts w:ascii="Times New Roman" w:hAnsi="Times New Roman" w:cs="Times New Roman"/>
          <w:sz w:val="24"/>
          <w:szCs w:val="24"/>
        </w:rPr>
        <w:t>管理人</w:t>
      </w:r>
      <w:r>
        <w:rPr>
          <w:rFonts w:ascii="Times New Roman" w:hAnsi="Times New Roman" w:cs="Times New Roman"/>
          <w:sz w:val="24"/>
          <w:szCs w:val="24"/>
        </w:rPr>
        <w:t>/</w:t>
      </w:r>
      <w:r>
        <w:rPr>
          <w:rFonts w:ascii="Times New Roman" w:hAnsi="Times New Roman" w:cs="Times New Roman"/>
          <w:sz w:val="24"/>
          <w:szCs w:val="24"/>
        </w:rPr>
        <w:t>基金托管人发生变更，未变更的一方有义务协助变更后的接任人接收相应文件。</w:t>
      </w:r>
    </w:p>
    <w:p w14:paraId="3939CD02"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（四）基金管理人和基金托管人应按各自职责完整保存原始凭证、记账凭证、基金账册、交易记录和重要合同等，承担保密义务并保存期限不低于法律法规或监管机关规定的期限。</w:t>
      </w:r>
      <w:bookmarkStart w:id="17" w:name="_Toc440289544"/>
      <w:bookmarkStart w:id="18" w:name="_Toc440289545"/>
    </w:p>
    <w:p w14:paraId="797A90BA" w14:textId="77777777" w:rsidR="00BB7E47" w:rsidRDefault="005406F2">
      <w:pPr>
        <w:widowControl/>
        <w:spacing w:after="0" w:line="240" w:lineRule="auto"/>
        <w:jc w:val="left"/>
        <w:rPr>
          <w:rFonts w:ascii="Times New Roman" w:hAnsi="Times New Roman" w:cs="Times New Roman"/>
          <w:sz w:val="24"/>
          <w:szCs w:val="24"/>
        </w:rPr>
      </w:pPr>
      <w:r>
        <w:rPr>
          <w:rFonts w:ascii="Times New Roman" w:hAnsi="Times New Roman" w:cs="Times New Roman"/>
          <w:sz w:val="24"/>
          <w:szCs w:val="24"/>
        </w:rPr>
        <w:br w:type="page"/>
      </w:r>
    </w:p>
    <w:p w14:paraId="6E0F28F4" w14:textId="77777777" w:rsidR="00BB7E47" w:rsidRDefault="00BB7E47">
      <w:pPr>
        <w:spacing w:line="360" w:lineRule="auto"/>
        <w:ind w:firstLine="480"/>
        <w:rPr>
          <w:rFonts w:ascii="Times New Roman" w:hAnsi="Times New Roman" w:cs="Times New Roman"/>
          <w:sz w:val="24"/>
          <w:szCs w:val="24"/>
        </w:rPr>
      </w:pPr>
    </w:p>
    <w:p w14:paraId="56A2FC5E" w14:textId="77777777" w:rsidR="00BB7E47" w:rsidRDefault="005406F2">
      <w:pPr>
        <w:spacing w:afterLines="100" w:after="312" w:line="360" w:lineRule="auto"/>
        <w:jc w:val="center"/>
        <w:outlineLvl w:val="0"/>
        <w:rPr>
          <w:rFonts w:ascii="Times New Roman" w:hAnsi="Times New Roman" w:cs="Times New Roman"/>
          <w:b/>
          <w:sz w:val="30"/>
          <w:szCs w:val="30"/>
        </w:rPr>
      </w:pPr>
      <w:r>
        <w:rPr>
          <w:rFonts w:ascii="Times New Roman" w:hAnsi="Times New Roman" w:cs="Times New Roman"/>
          <w:b/>
          <w:sz w:val="30"/>
          <w:szCs w:val="30"/>
        </w:rPr>
        <w:t>十四、基金管理人和基金托管人的更换</w:t>
      </w:r>
      <w:bookmarkEnd w:id="17"/>
      <w:bookmarkEnd w:id="18"/>
    </w:p>
    <w:p w14:paraId="45B8995C"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（一）基金管理人的更换</w:t>
      </w:r>
    </w:p>
    <w:p w14:paraId="55E037E3"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．基金管理人的更换条件</w:t>
      </w:r>
    </w:p>
    <w:p w14:paraId="15CCD4A9"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有下列情形之一的，基金管理人职责终止：</w:t>
      </w:r>
    </w:p>
    <w:p w14:paraId="6E071F06"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）被依法取消基金管理资格；</w:t>
      </w:r>
    </w:p>
    <w:p w14:paraId="223E1BE6"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）被基金份额持有人大会解任；</w:t>
      </w:r>
    </w:p>
    <w:p w14:paraId="43C0FDA1"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）依法解散、被依法撤销或被依法宣告破产；</w:t>
      </w:r>
    </w:p>
    <w:p w14:paraId="5DCED05E"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）法律法规及中国证监会规定的和《基金合同》约定的其他情形。</w:t>
      </w:r>
    </w:p>
    <w:p w14:paraId="621C9FE8"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．基金管理人的更换程序</w:t>
      </w:r>
    </w:p>
    <w:p w14:paraId="7F2F677C"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更换基金管理人必须依照如下程序进行：</w:t>
      </w:r>
    </w:p>
    <w:p w14:paraId="58A208F1"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）提名：</w:t>
      </w:r>
      <w:proofErr w:type="gramStart"/>
      <w:r>
        <w:rPr>
          <w:rFonts w:ascii="Times New Roman" w:hAnsi="Times New Roman" w:cs="Times New Roman"/>
          <w:sz w:val="24"/>
        </w:rPr>
        <w:t>新任基金</w:t>
      </w:r>
      <w:proofErr w:type="gramEnd"/>
      <w:r>
        <w:rPr>
          <w:rFonts w:ascii="Times New Roman" w:hAnsi="Times New Roman" w:cs="Times New Roman"/>
          <w:sz w:val="24"/>
        </w:rPr>
        <w:t>管理人由基金托管人或由单独或合计持有</w:t>
      </w:r>
      <w:r>
        <w:rPr>
          <w:rFonts w:ascii="Times New Roman" w:hAnsi="Times New Roman" w:cs="Times New Roman"/>
          <w:bCs/>
          <w:sz w:val="24"/>
          <w:szCs w:val="20"/>
        </w:rPr>
        <w:t>10%</w:t>
      </w:r>
      <w:r>
        <w:rPr>
          <w:rFonts w:ascii="Times New Roman" w:hAnsi="Times New Roman" w:cs="Times New Roman"/>
          <w:sz w:val="24"/>
        </w:rPr>
        <w:t>以上（含</w:t>
      </w:r>
      <w:r>
        <w:rPr>
          <w:rFonts w:ascii="Times New Roman" w:hAnsi="Times New Roman" w:cs="Times New Roman"/>
          <w:bCs/>
          <w:sz w:val="24"/>
          <w:szCs w:val="20"/>
        </w:rPr>
        <w:t>10%</w:t>
      </w:r>
      <w:r>
        <w:rPr>
          <w:rFonts w:ascii="Times New Roman" w:hAnsi="Times New Roman" w:cs="Times New Roman"/>
          <w:sz w:val="24"/>
        </w:rPr>
        <w:t>）基金份额的基金份额持有人提名；</w:t>
      </w:r>
    </w:p>
    <w:p w14:paraId="5B3DD9FE"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）决议：基金份额持有人大会在基金管理人职责终止后</w:t>
      </w:r>
      <w:r>
        <w:rPr>
          <w:rFonts w:ascii="Times New Roman" w:hAnsi="Times New Roman" w:cs="Times New Roman"/>
          <w:sz w:val="24"/>
        </w:rPr>
        <w:t>6</w:t>
      </w:r>
      <w:r>
        <w:rPr>
          <w:rFonts w:ascii="Times New Roman" w:hAnsi="Times New Roman" w:cs="Times New Roman"/>
          <w:sz w:val="24"/>
        </w:rPr>
        <w:t>个月内对被提名的基金管理人形成决议，该决议需经参加大会的基金份额持有人或其代理人所持表决权的三分之二以上（含三分之二）表决通过，决议自表决通过之日起生效；</w:t>
      </w:r>
    </w:p>
    <w:p w14:paraId="6EE0DA4F"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）临时基金管理人：</w:t>
      </w:r>
      <w:proofErr w:type="gramStart"/>
      <w:r>
        <w:rPr>
          <w:rFonts w:ascii="Times New Roman" w:hAnsi="Times New Roman" w:cs="Times New Roman"/>
          <w:sz w:val="24"/>
        </w:rPr>
        <w:t>新任基金</w:t>
      </w:r>
      <w:proofErr w:type="gramEnd"/>
      <w:r>
        <w:rPr>
          <w:rFonts w:ascii="Times New Roman" w:hAnsi="Times New Roman" w:cs="Times New Roman"/>
          <w:sz w:val="24"/>
        </w:rPr>
        <w:t>管理人产生之前，由中国证监会指定临时基金管理人；</w:t>
      </w:r>
    </w:p>
    <w:p w14:paraId="4323FE43" w14:textId="7B099541"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w:t>
      </w:r>
      <w:r>
        <w:rPr>
          <w:rFonts w:ascii="Times New Roman" w:hAnsi="Times New Roman" w:cs="Times New Roman"/>
          <w:bCs/>
          <w:sz w:val="24"/>
          <w:szCs w:val="20"/>
        </w:rPr>
        <w:t>备案</w:t>
      </w:r>
      <w:r>
        <w:rPr>
          <w:rFonts w:ascii="Times New Roman" w:hAnsi="Times New Roman" w:cs="Times New Roman"/>
          <w:sz w:val="24"/>
        </w:rPr>
        <w:t>：基金份额持有人大会</w:t>
      </w:r>
      <w:r>
        <w:rPr>
          <w:rFonts w:ascii="Times New Roman" w:hAnsi="Times New Roman" w:cs="Times New Roman" w:hint="eastAsia"/>
          <w:sz w:val="24"/>
        </w:rPr>
        <w:t>更换</w:t>
      </w:r>
      <w:r>
        <w:rPr>
          <w:rFonts w:ascii="Times New Roman" w:hAnsi="Times New Roman" w:cs="Times New Roman"/>
          <w:sz w:val="24"/>
        </w:rPr>
        <w:t>基金管理人的决议须经中国证监会</w:t>
      </w:r>
      <w:r>
        <w:rPr>
          <w:rFonts w:ascii="Times New Roman" w:hAnsi="Times New Roman" w:cs="Times New Roman"/>
          <w:bCs/>
          <w:sz w:val="24"/>
          <w:szCs w:val="20"/>
        </w:rPr>
        <w:t>备案</w:t>
      </w:r>
      <w:r>
        <w:rPr>
          <w:rFonts w:ascii="Times New Roman" w:hAnsi="Times New Roman" w:cs="Times New Roman"/>
          <w:sz w:val="24"/>
        </w:rPr>
        <w:t>；</w:t>
      </w:r>
    </w:p>
    <w:p w14:paraId="56DE2A07"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）公告：基金管理人更换后，由基金托管人在</w:t>
      </w:r>
      <w:r>
        <w:rPr>
          <w:rFonts w:ascii="Times New Roman" w:hAnsi="Times New Roman" w:cs="Times New Roman"/>
          <w:bCs/>
          <w:sz w:val="24"/>
          <w:szCs w:val="20"/>
        </w:rPr>
        <w:t>更换基金管理人的基金份</w:t>
      </w:r>
      <w:r>
        <w:rPr>
          <w:rFonts w:ascii="Times New Roman" w:hAnsi="Times New Roman" w:cs="Times New Roman"/>
          <w:bCs/>
          <w:sz w:val="24"/>
          <w:szCs w:val="20"/>
        </w:rPr>
        <w:lastRenderedPageBreak/>
        <w:t>额持有人大会决议生效</w:t>
      </w:r>
      <w:r>
        <w:rPr>
          <w:rFonts w:ascii="Times New Roman" w:hAnsi="Times New Roman" w:cs="Times New Roman"/>
          <w:sz w:val="24"/>
        </w:rPr>
        <w:t>后依照《信息披露办法》的有关规定在规定媒介公告</w:t>
      </w:r>
      <w:r>
        <w:rPr>
          <w:rFonts w:ascii="Times New Roman" w:hAnsi="Times New Roman" w:cs="Times New Roman"/>
          <w:bCs/>
          <w:sz w:val="24"/>
          <w:szCs w:val="20"/>
        </w:rPr>
        <w:t>；</w:t>
      </w:r>
    </w:p>
    <w:p w14:paraId="23FF38A5"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）交接：基金管理人职责终止的，基金管理人应妥善保管基金管理业务资料，及时向临时基金管理人或</w:t>
      </w:r>
      <w:proofErr w:type="gramStart"/>
      <w:r>
        <w:rPr>
          <w:rFonts w:ascii="Times New Roman" w:hAnsi="Times New Roman" w:cs="Times New Roman"/>
          <w:sz w:val="24"/>
        </w:rPr>
        <w:t>新任基金</w:t>
      </w:r>
      <w:proofErr w:type="gramEnd"/>
      <w:r>
        <w:rPr>
          <w:rFonts w:ascii="Times New Roman" w:hAnsi="Times New Roman" w:cs="Times New Roman"/>
          <w:sz w:val="24"/>
        </w:rPr>
        <w:t>管理人办理基金管理业务的移交手续，临时基金管理人或</w:t>
      </w:r>
      <w:proofErr w:type="gramStart"/>
      <w:r>
        <w:rPr>
          <w:rFonts w:ascii="Times New Roman" w:hAnsi="Times New Roman" w:cs="Times New Roman"/>
          <w:sz w:val="24"/>
        </w:rPr>
        <w:t>新任基金</w:t>
      </w:r>
      <w:proofErr w:type="gramEnd"/>
      <w:r>
        <w:rPr>
          <w:rFonts w:ascii="Times New Roman" w:hAnsi="Times New Roman" w:cs="Times New Roman"/>
          <w:sz w:val="24"/>
        </w:rPr>
        <w:t>管理人应及时接收。</w:t>
      </w:r>
      <w:proofErr w:type="gramStart"/>
      <w:r>
        <w:rPr>
          <w:rFonts w:ascii="Times New Roman" w:hAnsi="Times New Roman" w:cs="Times New Roman"/>
          <w:sz w:val="24"/>
        </w:rPr>
        <w:t>新任基金</w:t>
      </w:r>
      <w:proofErr w:type="gramEnd"/>
      <w:r>
        <w:rPr>
          <w:rFonts w:ascii="Times New Roman" w:hAnsi="Times New Roman" w:cs="Times New Roman"/>
          <w:sz w:val="24"/>
        </w:rPr>
        <w:t>管理人或临时基金管理人应与基金托管人核对基金资产总值</w:t>
      </w:r>
      <w:r>
        <w:rPr>
          <w:rFonts w:ascii="Times New Roman" w:hAnsi="Times New Roman" w:cs="Times New Roman"/>
          <w:bCs/>
          <w:sz w:val="24"/>
          <w:szCs w:val="20"/>
        </w:rPr>
        <w:t>和净值</w:t>
      </w:r>
      <w:r>
        <w:rPr>
          <w:rFonts w:ascii="Times New Roman" w:hAnsi="Times New Roman" w:cs="Times New Roman"/>
          <w:sz w:val="24"/>
        </w:rPr>
        <w:t>；</w:t>
      </w:r>
    </w:p>
    <w:p w14:paraId="112CCD36"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7</w:t>
      </w:r>
      <w:r>
        <w:rPr>
          <w:rFonts w:ascii="Times New Roman" w:hAnsi="Times New Roman" w:cs="Times New Roman"/>
          <w:sz w:val="24"/>
        </w:rPr>
        <w:t>）审计：基金管理人职责终止的，应当按照法律法规规定聘请会计师事务所对基金财产进行审计，并将审计结果予以公告，同时报中国证监会备案，审计费从基金财产中列支；</w:t>
      </w:r>
    </w:p>
    <w:p w14:paraId="7EC95E17"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rPr>
        <w:t>（</w:t>
      </w:r>
      <w:r>
        <w:rPr>
          <w:rFonts w:ascii="Times New Roman" w:hAnsi="Times New Roman" w:cs="Times New Roman"/>
          <w:sz w:val="24"/>
        </w:rPr>
        <w:t>8</w:t>
      </w:r>
      <w:r>
        <w:rPr>
          <w:rFonts w:ascii="Times New Roman" w:hAnsi="Times New Roman" w:cs="Times New Roman"/>
          <w:sz w:val="24"/>
        </w:rPr>
        <w:t>）基金名称变更：基金管理人更换后，如果原任或</w:t>
      </w:r>
      <w:proofErr w:type="gramStart"/>
      <w:r>
        <w:rPr>
          <w:rFonts w:ascii="Times New Roman" w:hAnsi="Times New Roman" w:cs="Times New Roman"/>
          <w:sz w:val="24"/>
        </w:rPr>
        <w:t>新任基金</w:t>
      </w:r>
      <w:proofErr w:type="gramEnd"/>
      <w:r>
        <w:rPr>
          <w:rFonts w:ascii="Times New Roman" w:hAnsi="Times New Roman" w:cs="Times New Roman"/>
          <w:sz w:val="24"/>
        </w:rPr>
        <w:t>管理人要求，应按其要求替换或删除基金名称中与</w:t>
      </w:r>
      <w:proofErr w:type="gramStart"/>
      <w:r>
        <w:rPr>
          <w:rFonts w:ascii="Times New Roman" w:hAnsi="Times New Roman" w:cs="Times New Roman"/>
          <w:sz w:val="24"/>
        </w:rPr>
        <w:t>原基金</w:t>
      </w:r>
      <w:proofErr w:type="gramEnd"/>
      <w:r>
        <w:rPr>
          <w:rFonts w:ascii="Times New Roman" w:hAnsi="Times New Roman" w:cs="Times New Roman"/>
          <w:sz w:val="24"/>
        </w:rPr>
        <w:t>管理人有关的名称字样</w:t>
      </w:r>
      <w:r>
        <w:rPr>
          <w:rFonts w:ascii="Times New Roman" w:hAnsi="Times New Roman" w:cs="Times New Roman"/>
          <w:bCs/>
          <w:sz w:val="24"/>
        </w:rPr>
        <w:t>。</w:t>
      </w:r>
    </w:p>
    <w:p w14:paraId="0E2B9185"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（二）基金托管人的更换</w:t>
      </w:r>
    </w:p>
    <w:p w14:paraId="387A43DA"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．基金托管人的更换条件</w:t>
      </w:r>
    </w:p>
    <w:p w14:paraId="4589E64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有下列情形之一的，基金托管人职责终止：</w:t>
      </w:r>
    </w:p>
    <w:p w14:paraId="5654E539"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）被依法取消基金托管资格；</w:t>
      </w:r>
    </w:p>
    <w:p w14:paraId="11EA9FF7"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）被基金份额持有人大会解任；</w:t>
      </w:r>
    </w:p>
    <w:p w14:paraId="71077B8D"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）依法解散、被依法撤销或被依法宣告破产；</w:t>
      </w:r>
    </w:p>
    <w:p w14:paraId="471BD299"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）法律法规及中国证监会规定的和《基金合同》约定的其他情形。</w:t>
      </w:r>
    </w:p>
    <w:p w14:paraId="116B1386"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．基金托管人的更换程序</w:t>
      </w:r>
    </w:p>
    <w:p w14:paraId="53D8AA49"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）提名：</w:t>
      </w:r>
      <w:proofErr w:type="gramStart"/>
      <w:r>
        <w:rPr>
          <w:rFonts w:ascii="Times New Roman" w:hAnsi="Times New Roman" w:cs="Times New Roman"/>
          <w:sz w:val="24"/>
        </w:rPr>
        <w:t>新任基金</w:t>
      </w:r>
      <w:proofErr w:type="gramEnd"/>
      <w:r>
        <w:rPr>
          <w:rFonts w:ascii="Times New Roman" w:hAnsi="Times New Roman" w:cs="Times New Roman"/>
          <w:sz w:val="24"/>
        </w:rPr>
        <w:t>托管人由基金管理人或由单独或合计持有</w:t>
      </w:r>
      <w:r>
        <w:rPr>
          <w:rFonts w:ascii="Times New Roman" w:hAnsi="Times New Roman" w:cs="Times New Roman"/>
          <w:bCs/>
          <w:sz w:val="24"/>
          <w:szCs w:val="20"/>
        </w:rPr>
        <w:t>10%</w:t>
      </w:r>
      <w:r>
        <w:rPr>
          <w:rFonts w:ascii="Times New Roman" w:hAnsi="Times New Roman" w:cs="Times New Roman"/>
          <w:sz w:val="24"/>
        </w:rPr>
        <w:t>以上（含</w:t>
      </w:r>
      <w:r>
        <w:rPr>
          <w:rFonts w:ascii="Times New Roman" w:hAnsi="Times New Roman" w:cs="Times New Roman"/>
          <w:bCs/>
          <w:sz w:val="24"/>
          <w:szCs w:val="20"/>
        </w:rPr>
        <w:t>10%</w:t>
      </w:r>
      <w:r>
        <w:rPr>
          <w:rFonts w:ascii="Times New Roman" w:hAnsi="Times New Roman" w:cs="Times New Roman"/>
          <w:sz w:val="24"/>
        </w:rPr>
        <w:t>）基金份额的基金</w:t>
      </w:r>
      <w:r>
        <w:rPr>
          <w:rFonts w:ascii="Times New Roman" w:hAnsi="Times New Roman" w:cs="Times New Roman"/>
          <w:bCs/>
          <w:sz w:val="24"/>
          <w:szCs w:val="20"/>
        </w:rPr>
        <w:t>份额</w:t>
      </w:r>
      <w:r>
        <w:rPr>
          <w:rFonts w:ascii="Times New Roman" w:hAnsi="Times New Roman" w:cs="Times New Roman"/>
          <w:sz w:val="24"/>
        </w:rPr>
        <w:t>持有人提名；</w:t>
      </w:r>
    </w:p>
    <w:p w14:paraId="3A098B9C"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）决议：基金份额持有人大会在基金托管人职责终止后</w:t>
      </w:r>
      <w:r>
        <w:rPr>
          <w:rFonts w:ascii="Times New Roman" w:hAnsi="Times New Roman" w:cs="Times New Roman"/>
          <w:sz w:val="24"/>
        </w:rPr>
        <w:t>6</w:t>
      </w:r>
      <w:r>
        <w:rPr>
          <w:rFonts w:ascii="Times New Roman" w:hAnsi="Times New Roman" w:cs="Times New Roman"/>
          <w:sz w:val="24"/>
        </w:rPr>
        <w:t>个月内对被提名的基金托管人形成决议，该决议需经参加大会的基金份额持有人或其代理人所持表决权的三分之二以上（含三分之二）表决通过，决议自表决通过之日起生效；</w:t>
      </w:r>
    </w:p>
    <w:p w14:paraId="1B3DB864"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lastRenderedPageBreak/>
        <w:t>（</w:t>
      </w:r>
      <w:r>
        <w:rPr>
          <w:rFonts w:ascii="Times New Roman" w:hAnsi="Times New Roman" w:cs="Times New Roman"/>
          <w:sz w:val="24"/>
        </w:rPr>
        <w:t>3</w:t>
      </w:r>
      <w:r>
        <w:rPr>
          <w:rFonts w:ascii="Times New Roman" w:hAnsi="Times New Roman" w:cs="Times New Roman"/>
          <w:sz w:val="24"/>
        </w:rPr>
        <w:t>）临时基金托管人：</w:t>
      </w:r>
      <w:proofErr w:type="gramStart"/>
      <w:r>
        <w:rPr>
          <w:rFonts w:ascii="Times New Roman" w:hAnsi="Times New Roman" w:cs="Times New Roman"/>
          <w:sz w:val="24"/>
        </w:rPr>
        <w:t>新任基金</w:t>
      </w:r>
      <w:proofErr w:type="gramEnd"/>
      <w:r>
        <w:rPr>
          <w:rFonts w:ascii="Times New Roman" w:hAnsi="Times New Roman" w:cs="Times New Roman"/>
          <w:sz w:val="24"/>
        </w:rPr>
        <w:t>托管人产生之前，由中国证监会指定临时基金托管人；</w:t>
      </w:r>
    </w:p>
    <w:p w14:paraId="29D78A34"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w:t>
      </w:r>
      <w:r>
        <w:rPr>
          <w:rFonts w:ascii="Times New Roman" w:hAnsi="Times New Roman" w:cs="Times New Roman"/>
          <w:bCs/>
          <w:sz w:val="24"/>
          <w:szCs w:val="20"/>
        </w:rPr>
        <w:t>备案</w:t>
      </w:r>
      <w:r>
        <w:rPr>
          <w:rFonts w:ascii="Times New Roman" w:hAnsi="Times New Roman" w:cs="Times New Roman"/>
          <w:sz w:val="24"/>
        </w:rPr>
        <w:t>：基金份额持有人大会更换基金托管人的决议须经中国证监会</w:t>
      </w:r>
      <w:r>
        <w:rPr>
          <w:rFonts w:ascii="Times New Roman" w:hAnsi="Times New Roman" w:cs="Times New Roman"/>
          <w:bCs/>
          <w:sz w:val="24"/>
          <w:szCs w:val="20"/>
        </w:rPr>
        <w:t>备案</w:t>
      </w:r>
      <w:r>
        <w:rPr>
          <w:rFonts w:ascii="Times New Roman" w:hAnsi="Times New Roman" w:cs="Times New Roman"/>
          <w:sz w:val="24"/>
        </w:rPr>
        <w:t>；</w:t>
      </w:r>
    </w:p>
    <w:p w14:paraId="4CDDB75E"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）公告：基金托管人更换后，由基金管理人在</w:t>
      </w:r>
      <w:r>
        <w:rPr>
          <w:rFonts w:ascii="Times New Roman" w:hAnsi="Times New Roman" w:cs="Times New Roman"/>
          <w:bCs/>
          <w:sz w:val="24"/>
          <w:szCs w:val="20"/>
        </w:rPr>
        <w:t>更换基金托管人的基金份额持有人大会决议生效</w:t>
      </w:r>
      <w:r>
        <w:rPr>
          <w:rFonts w:ascii="Times New Roman" w:hAnsi="Times New Roman" w:cs="Times New Roman"/>
          <w:sz w:val="24"/>
        </w:rPr>
        <w:t>后</w:t>
      </w:r>
      <w:r>
        <w:rPr>
          <w:rFonts w:ascii="Times New Roman" w:hAnsi="Times New Roman" w:cs="Times New Roman"/>
          <w:bCs/>
          <w:sz w:val="24"/>
          <w:szCs w:val="20"/>
        </w:rPr>
        <w:t>依照《信息披露办法》的有关规定在规定媒介公告；</w:t>
      </w:r>
    </w:p>
    <w:p w14:paraId="70D0801D"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）交接：基金托管人职责终止的，应当妥善保管基金财产和基金托管业务资料，及时办理基金财产和基金托管业务的移交手续，</w:t>
      </w:r>
      <w:proofErr w:type="gramStart"/>
      <w:r>
        <w:rPr>
          <w:rFonts w:ascii="Times New Roman" w:hAnsi="Times New Roman" w:cs="Times New Roman"/>
          <w:sz w:val="24"/>
        </w:rPr>
        <w:t>新任基金</w:t>
      </w:r>
      <w:proofErr w:type="gramEnd"/>
      <w:r>
        <w:rPr>
          <w:rFonts w:ascii="Times New Roman" w:hAnsi="Times New Roman" w:cs="Times New Roman"/>
          <w:sz w:val="24"/>
        </w:rPr>
        <w:t>托管人或者临时基金托管人应当及时接收。</w:t>
      </w:r>
      <w:proofErr w:type="gramStart"/>
      <w:r>
        <w:rPr>
          <w:rFonts w:ascii="Times New Roman" w:hAnsi="Times New Roman" w:cs="Times New Roman"/>
          <w:sz w:val="24"/>
        </w:rPr>
        <w:t>新任基金</w:t>
      </w:r>
      <w:proofErr w:type="gramEnd"/>
      <w:r>
        <w:rPr>
          <w:rFonts w:ascii="Times New Roman" w:hAnsi="Times New Roman" w:cs="Times New Roman"/>
          <w:sz w:val="24"/>
        </w:rPr>
        <w:t>托管人或者临时基金托管人与基金管理人核对基金资产总值</w:t>
      </w:r>
      <w:r>
        <w:rPr>
          <w:rFonts w:ascii="Times New Roman" w:hAnsi="Times New Roman" w:cs="Times New Roman"/>
          <w:bCs/>
          <w:sz w:val="24"/>
          <w:szCs w:val="20"/>
        </w:rPr>
        <w:t>和净值</w:t>
      </w:r>
      <w:r>
        <w:rPr>
          <w:rFonts w:ascii="Times New Roman" w:hAnsi="Times New Roman" w:cs="Times New Roman"/>
          <w:sz w:val="24"/>
        </w:rPr>
        <w:t>；</w:t>
      </w:r>
      <w:r>
        <w:rPr>
          <w:rFonts w:ascii="Times New Roman" w:hAnsi="Times New Roman" w:cs="Times New Roman"/>
          <w:sz w:val="24"/>
        </w:rPr>
        <w:t xml:space="preserve"> </w:t>
      </w:r>
    </w:p>
    <w:p w14:paraId="09CFD91E"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7</w:t>
      </w:r>
      <w:r>
        <w:rPr>
          <w:rFonts w:ascii="Times New Roman" w:hAnsi="Times New Roman" w:cs="Times New Roman"/>
          <w:sz w:val="24"/>
        </w:rPr>
        <w:t>）审计：基金托管人职责终止的，应当按照法律法规规定聘请会计师事务所对基金财产进行审计，并将审计结果予以公告，同时报中国证监会备案，审计费从基金财产中列支。</w:t>
      </w:r>
    </w:p>
    <w:p w14:paraId="05C8FBB0"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（三）基金管理人与基金托管人同时更换</w:t>
      </w:r>
    </w:p>
    <w:p w14:paraId="0A6C53BA"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．提名：如果基金管理人和基金托管人同时更换，由单独或合计持有基金总份额</w:t>
      </w:r>
      <w:r>
        <w:rPr>
          <w:rFonts w:ascii="Times New Roman" w:hAnsi="Times New Roman" w:cs="Times New Roman"/>
          <w:bCs/>
          <w:sz w:val="24"/>
          <w:szCs w:val="20"/>
        </w:rPr>
        <w:t>10%</w:t>
      </w:r>
      <w:r>
        <w:rPr>
          <w:rFonts w:ascii="Times New Roman" w:hAnsi="Times New Roman" w:cs="Times New Roman"/>
          <w:sz w:val="24"/>
        </w:rPr>
        <w:t>以上（含</w:t>
      </w:r>
      <w:r>
        <w:rPr>
          <w:rFonts w:ascii="Times New Roman" w:hAnsi="Times New Roman" w:cs="Times New Roman"/>
          <w:bCs/>
          <w:sz w:val="24"/>
          <w:szCs w:val="20"/>
        </w:rPr>
        <w:t>10%</w:t>
      </w:r>
      <w:r>
        <w:rPr>
          <w:rFonts w:ascii="Times New Roman" w:hAnsi="Times New Roman" w:cs="Times New Roman"/>
          <w:sz w:val="24"/>
        </w:rPr>
        <w:t>）的基金份额持有人提名新的基金管理人和基金托管人；</w:t>
      </w:r>
    </w:p>
    <w:p w14:paraId="78D4B04D"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．基金管理人和基金托管人的更换分别按上述程序进行；</w:t>
      </w:r>
    </w:p>
    <w:p w14:paraId="127C80D9"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rPr>
        <w:t>3</w:t>
      </w:r>
      <w:r>
        <w:rPr>
          <w:rFonts w:ascii="Times New Roman" w:hAnsi="Times New Roman" w:cs="Times New Roman"/>
          <w:sz w:val="24"/>
        </w:rPr>
        <w:t>．公告：</w:t>
      </w:r>
      <w:proofErr w:type="gramStart"/>
      <w:r>
        <w:rPr>
          <w:rFonts w:ascii="Times New Roman" w:hAnsi="Times New Roman" w:cs="Times New Roman"/>
          <w:sz w:val="24"/>
        </w:rPr>
        <w:t>新任基金</w:t>
      </w:r>
      <w:proofErr w:type="gramEnd"/>
      <w:r>
        <w:rPr>
          <w:rFonts w:ascii="Times New Roman" w:hAnsi="Times New Roman" w:cs="Times New Roman"/>
          <w:sz w:val="24"/>
        </w:rPr>
        <w:t>管理人和</w:t>
      </w:r>
      <w:proofErr w:type="gramStart"/>
      <w:r>
        <w:rPr>
          <w:rFonts w:ascii="Times New Roman" w:hAnsi="Times New Roman" w:cs="Times New Roman"/>
          <w:sz w:val="24"/>
        </w:rPr>
        <w:t>新任基金</w:t>
      </w:r>
      <w:proofErr w:type="gramEnd"/>
      <w:r>
        <w:rPr>
          <w:rFonts w:ascii="Times New Roman" w:hAnsi="Times New Roman" w:cs="Times New Roman"/>
          <w:sz w:val="24"/>
        </w:rPr>
        <w:t>托管人应在更换基金管理人和基金托管人的基金份额持有人大会决议</w:t>
      </w:r>
      <w:r>
        <w:rPr>
          <w:rFonts w:ascii="Times New Roman" w:hAnsi="Times New Roman" w:cs="Times New Roman"/>
          <w:bCs/>
          <w:sz w:val="24"/>
          <w:szCs w:val="20"/>
        </w:rPr>
        <w:t>生效</w:t>
      </w:r>
      <w:r>
        <w:rPr>
          <w:rFonts w:ascii="Times New Roman" w:hAnsi="Times New Roman" w:cs="Times New Roman"/>
          <w:sz w:val="24"/>
        </w:rPr>
        <w:t>后依照《信息披露办法》的有关规定在规定媒介上联合公告。</w:t>
      </w:r>
    </w:p>
    <w:p w14:paraId="4D67B682"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（四）新任或临时基金管理人接收基金管理业务，或新任或临时基金托管人接收基金财产和基金托管业务前，</w:t>
      </w:r>
      <w:proofErr w:type="gramStart"/>
      <w:r>
        <w:rPr>
          <w:rFonts w:ascii="Times New Roman" w:hAnsi="Times New Roman" w:cs="Times New Roman"/>
          <w:sz w:val="24"/>
          <w:szCs w:val="24"/>
        </w:rPr>
        <w:t>原基金</w:t>
      </w:r>
      <w:proofErr w:type="gramEnd"/>
      <w:r>
        <w:rPr>
          <w:rFonts w:ascii="Times New Roman" w:hAnsi="Times New Roman" w:cs="Times New Roman"/>
          <w:sz w:val="24"/>
          <w:szCs w:val="24"/>
        </w:rPr>
        <w:t>管理人或</w:t>
      </w:r>
      <w:proofErr w:type="gramStart"/>
      <w:r>
        <w:rPr>
          <w:rFonts w:ascii="Times New Roman" w:hAnsi="Times New Roman" w:cs="Times New Roman"/>
          <w:sz w:val="24"/>
          <w:szCs w:val="24"/>
        </w:rPr>
        <w:t>原基金</w:t>
      </w:r>
      <w:proofErr w:type="gramEnd"/>
      <w:r>
        <w:rPr>
          <w:rFonts w:ascii="Times New Roman" w:hAnsi="Times New Roman" w:cs="Times New Roman"/>
          <w:sz w:val="24"/>
          <w:szCs w:val="24"/>
        </w:rPr>
        <w:t>托管人应依据法律法规和基金合同的规定继续履行相关职责，并保证不做出对基金份额持有人的利益造成损害的行为。</w:t>
      </w:r>
      <w:proofErr w:type="gramStart"/>
      <w:r>
        <w:rPr>
          <w:rFonts w:ascii="Times New Roman" w:hAnsi="Times New Roman" w:cs="Times New Roman"/>
          <w:sz w:val="24"/>
          <w:szCs w:val="24"/>
        </w:rPr>
        <w:t>原基金</w:t>
      </w:r>
      <w:proofErr w:type="gramEnd"/>
      <w:r>
        <w:rPr>
          <w:rFonts w:ascii="Times New Roman" w:hAnsi="Times New Roman" w:cs="Times New Roman"/>
          <w:sz w:val="24"/>
          <w:szCs w:val="24"/>
        </w:rPr>
        <w:t>管理人或</w:t>
      </w:r>
      <w:proofErr w:type="gramStart"/>
      <w:r>
        <w:rPr>
          <w:rFonts w:ascii="Times New Roman" w:hAnsi="Times New Roman" w:cs="Times New Roman"/>
          <w:sz w:val="24"/>
          <w:szCs w:val="24"/>
        </w:rPr>
        <w:t>原基金</w:t>
      </w:r>
      <w:proofErr w:type="gramEnd"/>
      <w:r>
        <w:rPr>
          <w:rFonts w:ascii="Times New Roman" w:hAnsi="Times New Roman" w:cs="Times New Roman"/>
          <w:sz w:val="24"/>
          <w:szCs w:val="24"/>
        </w:rPr>
        <w:t>托管人在继续履行相关职责期间，仍有权按照基金合同的规定收取基金管理费或基金托管费。</w:t>
      </w:r>
      <w:bookmarkStart w:id="19" w:name="_Toc440289547"/>
      <w:bookmarkStart w:id="20" w:name="_Toc440289546"/>
    </w:p>
    <w:p w14:paraId="1ED1837A" w14:textId="77777777" w:rsidR="00BB7E47" w:rsidRDefault="005406F2">
      <w:pPr>
        <w:spacing w:afterLines="100" w:after="312" w:line="360" w:lineRule="auto"/>
        <w:jc w:val="center"/>
        <w:outlineLvl w:val="0"/>
        <w:rPr>
          <w:rFonts w:ascii="Times New Roman" w:hAnsi="Times New Roman" w:cs="Times New Roman"/>
          <w:b/>
          <w:sz w:val="30"/>
          <w:szCs w:val="30"/>
        </w:rPr>
      </w:pPr>
      <w:r>
        <w:rPr>
          <w:rFonts w:ascii="Times New Roman" w:hAnsi="Times New Roman" w:cs="Times New Roman"/>
          <w:b/>
          <w:sz w:val="30"/>
          <w:szCs w:val="30"/>
        </w:rPr>
        <w:lastRenderedPageBreak/>
        <w:t>十五、禁止行为</w:t>
      </w:r>
      <w:bookmarkEnd w:id="19"/>
      <w:bookmarkEnd w:id="20"/>
    </w:p>
    <w:p w14:paraId="66ADA886"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本协议当事人禁止从事的行为，包括但不限于：</w:t>
      </w:r>
    </w:p>
    <w:p w14:paraId="2F270847"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（一）基金管理人、基金托管人将其固有财产或者他人财产混同于基金财产从事证券投资。</w:t>
      </w:r>
    </w:p>
    <w:p w14:paraId="07755F57"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（二）基金管理人不公平地对待其管理的不同基金财产，基金托管人不公平地对待其托管的不同基金财产。</w:t>
      </w:r>
    </w:p>
    <w:p w14:paraId="3CD75463"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（三）基金管理人、基金托管人利用基金财产或职务之便为基金份额持有人以外的人牟取利益。</w:t>
      </w:r>
    </w:p>
    <w:p w14:paraId="2BCD3441"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（四）基金管理人、基金托管人向基金份额持有人违规承诺收益或者承担损失。</w:t>
      </w:r>
    </w:p>
    <w:p w14:paraId="7A5A76BB"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（五）基金管理人、基金托管人对他人泄露基金运作和管理过程中任何尚未按法律法规规定的方式公开披露的信息。</w:t>
      </w:r>
    </w:p>
    <w:p w14:paraId="7B89CAF5"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（六）基金管理人在没有充足资金的情况下向基金托管人发出投资指令和赎回、分红资金的划拨指令，或违规向基金托管人发出指令。</w:t>
      </w:r>
    </w:p>
    <w:p w14:paraId="703C0FEA"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（七）基金管理人、基金托管人高级管理人员和其他从业人员相互兼职。</w:t>
      </w:r>
    </w:p>
    <w:p w14:paraId="4B3B6809"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（八）基金托管人私自动用或处分基金财产，根据基金管理人的合法指令、基金合同或托管协议的规定进行处分的除外。</w:t>
      </w:r>
    </w:p>
    <w:p w14:paraId="41130DFE" w14:textId="39C232D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（九）基金财产用于下列投资或者活动：（</w:t>
      </w:r>
      <w:r>
        <w:rPr>
          <w:rFonts w:ascii="Times New Roman" w:hAnsi="Times New Roman" w:cs="Times New Roman"/>
          <w:sz w:val="24"/>
          <w:szCs w:val="24"/>
        </w:rPr>
        <w:t>1</w:t>
      </w:r>
      <w:r>
        <w:rPr>
          <w:rFonts w:ascii="Times New Roman" w:hAnsi="Times New Roman" w:cs="Times New Roman"/>
          <w:sz w:val="24"/>
          <w:szCs w:val="24"/>
        </w:rPr>
        <w:t>）承销证券；（</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bCs/>
          <w:sz w:val="24"/>
        </w:rPr>
        <w:t>违反规定</w:t>
      </w:r>
      <w:r>
        <w:rPr>
          <w:rFonts w:ascii="Times New Roman" w:hAnsi="Times New Roman" w:cs="Times New Roman"/>
          <w:sz w:val="24"/>
          <w:szCs w:val="24"/>
        </w:rPr>
        <w:t>向他人贷款或者提供担保；（</w:t>
      </w:r>
      <w:r>
        <w:rPr>
          <w:rFonts w:ascii="Times New Roman" w:hAnsi="Times New Roman" w:cs="Times New Roman"/>
          <w:sz w:val="24"/>
          <w:szCs w:val="24"/>
        </w:rPr>
        <w:t>3</w:t>
      </w:r>
      <w:r>
        <w:rPr>
          <w:rFonts w:ascii="Times New Roman" w:hAnsi="Times New Roman" w:cs="Times New Roman"/>
          <w:sz w:val="24"/>
          <w:szCs w:val="24"/>
        </w:rPr>
        <w:t>）从事承担无限责任的投资；</w:t>
      </w: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）买卖其他基金份额，但是中国证监会另有规定的除外；</w:t>
      </w:r>
      <w:r>
        <w:rPr>
          <w:rFonts w:ascii="Times New Roman" w:hAnsi="Times New Roman" w:cs="Times New Roman"/>
          <w:sz w:val="24"/>
          <w:szCs w:val="24"/>
        </w:rPr>
        <w:t>（</w:t>
      </w:r>
      <w:r>
        <w:rPr>
          <w:rFonts w:ascii="Times New Roman" w:hAnsi="Times New Roman" w:cs="Times New Roman" w:hint="eastAsia"/>
          <w:sz w:val="24"/>
          <w:szCs w:val="24"/>
        </w:rPr>
        <w:t>5</w:t>
      </w:r>
      <w:r>
        <w:rPr>
          <w:rFonts w:ascii="Times New Roman" w:hAnsi="Times New Roman" w:cs="Times New Roman"/>
          <w:sz w:val="24"/>
          <w:szCs w:val="24"/>
        </w:rPr>
        <w:t>）向其基金管理人、基金托管人出资；（</w:t>
      </w:r>
      <w:r>
        <w:rPr>
          <w:rFonts w:ascii="Times New Roman" w:hAnsi="Times New Roman" w:cs="Times New Roman" w:hint="eastAsia"/>
          <w:sz w:val="24"/>
          <w:szCs w:val="24"/>
        </w:rPr>
        <w:t>6</w:t>
      </w:r>
      <w:r>
        <w:rPr>
          <w:rFonts w:ascii="Times New Roman" w:hAnsi="Times New Roman" w:cs="Times New Roman"/>
          <w:sz w:val="24"/>
          <w:szCs w:val="24"/>
        </w:rPr>
        <w:t>）从事内幕交易、操纵证券交易价格及其他不正当的证券交易活动；（</w:t>
      </w:r>
      <w:r>
        <w:rPr>
          <w:rFonts w:ascii="Times New Roman" w:hAnsi="Times New Roman" w:cs="Times New Roman" w:hint="eastAsia"/>
          <w:sz w:val="24"/>
          <w:szCs w:val="24"/>
        </w:rPr>
        <w:t>7</w:t>
      </w:r>
      <w:r>
        <w:rPr>
          <w:rFonts w:ascii="Times New Roman" w:hAnsi="Times New Roman" w:cs="Times New Roman"/>
          <w:sz w:val="24"/>
          <w:szCs w:val="24"/>
        </w:rPr>
        <w:t>）法律、行政法规和</w:t>
      </w:r>
      <w:r>
        <w:rPr>
          <w:rFonts w:ascii="Times New Roman" w:hAnsi="Times New Roman" w:cs="Times New Roman"/>
          <w:bCs/>
          <w:sz w:val="24"/>
        </w:rPr>
        <w:t>中国证监会</w:t>
      </w:r>
      <w:r>
        <w:rPr>
          <w:rFonts w:ascii="Times New Roman" w:hAnsi="Times New Roman" w:cs="Times New Roman"/>
          <w:sz w:val="24"/>
          <w:szCs w:val="24"/>
        </w:rPr>
        <w:t>规定禁止的其他活动。法律、行政法规或监管部门取消上述限制，如适用于本基金，</w:t>
      </w:r>
      <w:proofErr w:type="gramStart"/>
      <w:r>
        <w:rPr>
          <w:rFonts w:ascii="Times New Roman" w:hAnsi="Times New Roman" w:cs="Times New Roman"/>
          <w:sz w:val="24"/>
          <w:szCs w:val="24"/>
        </w:rPr>
        <w:t>则</w:t>
      </w:r>
      <w:r>
        <w:rPr>
          <w:rFonts w:ascii="Times New Roman" w:hAnsi="Times New Roman" w:cs="Times New Roman" w:hint="eastAsia"/>
          <w:sz w:val="24"/>
          <w:szCs w:val="24"/>
          <w:lang w:eastAsia="zh-Hans"/>
        </w:rPr>
        <w:t>基金</w:t>
      </w:r>
      <w:proofErr w:type="gramEnd"/>
      <w:r>
        <w:rPr>
          <w:rFonts w:ascii="Times New Roman" w:hAnsi="Times New Roman" w:cs="Times New Roman" w:hint="eastAsia"/>
          <w:sz w:val="24"/>
          <w:szCs w:val="24"/>
          <w:lang w:eastAsia="zh-Hans"/>
        </w:rPr>
        <w:t>管理人履行一定程序后</w:t>
      </w:r>
      <w:r>
        <w:rPr>
          <w:rFonts w:ascii="Times New Roman" w:hAnsi="Times New Roman" w:cs="Times New Roman"/>
          <w:sz w:val="24"/>
          <w:szCs w:val="24"/>
        </w:rPr>
        <w:t>本基金投资不再受相关限制。</w:t>
      </w:r>
    </w:p>
    <w:p w14:paraId="130C9242"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lastRenderedPageBreak/>
        <w:t>（十）法律法规和基金合同禁止的其他行为，以及依照法律、行政法规有关规定，由</w:t>
      </w:r>
      <w:r>
        <w:rPr>
          <w:rFonts w:ascii="Times New Roman" w:hAnsi="Times New Roman" w:cs="Times New Roman"/>
          <w:bCs/>
          <w:sz w:val="24"/>
        </w:rPr>
        <w:t>中国证监会</w:t>
      </w:r>
      <w:r>
        <w:rPr>
          <w:rFonts w:ascii="Times New Roman" w:hAnsi="Times New Roman" w:cs="Times New Roman"/>
          <w:sz w:val="24"/>
          <w:szCs w:val="24"/>
        </w:rPr>
        <w:t>规定禁止基金管理人、基金托管人从事的其他行为。</w:t>
      </w:r>
    </w:p>
    <w:p w14:paraId="64539E4E" w14:textId="77777777" w:rsidR="00BB7E47" w:rsidRDefault="005406F2">
      <w:pPr>
        <w:widowControl/>
        <w:spacing w:after="0" w:line="240" w:lineRule="auto"/>
        <w:jc w:val="left"/>
        <w:rPr>
          <w:rFonts w:ascii="Times New Roman" w:hAnsi="Times New Roman" w:cs="Times New Roman"/>
          <w:sz w:val="24"/>
          <w:szCs w:val="24"/>
        </w:rPr>
      </w:pPr>
      <w:bookmarkStart w:id="21" w:name="_Toc440289548"/>
      <w:bookmarkStart w:id="22" w:name="_Toc440289549"/>
      <w:r>
        <w:rPr>
          <w:rFonts w:ascii="Times New Roman" w:hAnsi="Times New Roman" w:cs="Times New Roman"/>
          <w:sz w:val="24"/>
          <w:szCs w:val="24"/>
        </w:rPr>
        <w:t xml:space="preserve"> </w:t>
      </w:r>
    </w:p>
    <w:p w14:paraId="76ECF63E" w14:textId="77777777" w:rsidR="00BB7E47" w:rsidRDefault="005406F2">
      <w:pPr>
        <w:widowControl/>
        <w:spacing w:after="0" w:line="240" w:lineRule="auto"/>
        <w:jc w:val="left"/>
        <w:rPr>
          <w:rFonts w:ascii="Times New Roman" w:hAnsi="Times New Roman" w:cs="Times New Roman"/>
          <w:b/>
          <w:sz w:val="30"/>
          <w:szCs w:val="30"/>
        </w:rPr>
      </w:pPr>
      <w:r>
        <w:rPr>
          <w:rFonts w:ascii="Times New Roman" w:hAnsi="Times New Roman" w:cs="Times New Roman"/>
          <w:b/>
          <w:sz w:val="30"/>
          <w:szCs w:val="30"/>
        </w:rPr>
        <w:br w:type="page"/>
      </w:r>
    </w:p>
    <w:p w14:paraId="7BAF958A" w14:textId="77777777" w:rsidR="00BB7E47" w:rsidRDefault="005406F2">
      <w:pPr>
        <w:spacing w:afterLines="100" w:after="312" w:line="360" w:lineRule="auto"/>
        <w:jc w:val="center"/>
        <w:outlineLvl w:val="0"/>
        <w:rPr>
          <w:rFonts w:ascii="Times New Roman" w:hAnsi="Times New Roman" w:cs="Times New Roman"/>
          <w:b/>
          <w:sz w:val="30"/>
          <w:szCs w:val="30"/>
        </w:rPr>
      </w:pPr>
      <w:r>
        <w:rPr>
          <w:rFonts w:ascii="Times New Roman" w:hAnsi="Times New Roman" w:cs="Times New Roman"/>
          <w:b/>
          <w:sz w:val="30"/>
          <w:szCs w:val="30"/>
        </w:rPr>
        <w:lastRenderedPageBreak/>
        <w:t>十六、托管协议的变更、终止与基金财产的清算</w:t>
      </w:r>
      <w:bookmarkEnd w:id="21"/>
      <w:bookmarkEnd w:id="22"/>
    </w:p>
    <w:p w14:paraId="1A08DA6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（一）托管协议的变更程序</w:t>
      </w:r>
    </w:p>
    <w:p w14:paraId="60B054D9"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本协议双方当事人经协商一致，可以对协议进行修改。修改后的新协议，其内容不得与基金合同的规定有任何冲突。基金托管协议的变更报中国证监会备案。</w:t>
      </w:r>
    </w:p>
    <w:p w14:paraId="67B3ED16"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（二）基金托管协议终止出现的情形</w:t>
      </w:r>
    </w:p>
    <w:p w14:paraId="7C9B402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．基金合同终止；</w:t>
      </w:r>
    </w:p>
    <w:p w14:paraId="6AFA00B8"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．基金托管人解散、依法被撤销、破产或由其他基金托管人接管基金资产；</w:t>
      </w:r>
    </w:p>
    <w:p w14:paraId="13FA9526"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．基金管理人解散、依法被撤销、破产或由其他基金管理人接管基金管理权；</w:t>
      </w:r>
    </w:p>
    <w:p w14:paraId="0F38817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．发生法律法规或基金合同规定的终止事项。</w:t>
      </w:r>
    </w:p>
    <w:p w14:paraId="05CC521C"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（三）基金财产的清算</w:t>
      </w:r>
    </w:p>
    <w:p w14:paraId="0A76AA68"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．基金财产清算</w:t>
      </w:r>
      <w:r>
        <w:rPr>
          <w:rFonts w:ascii="Times New Roman" w:hAnsi="Times New Roman" w:cs="Times New Roman"/>
          <w:sz w:val="24"/>
        </w:rPr>
        <w:t>小</w:t>
      </w:r>
      <w:r>
        <w:rPr>
          <w:rFonts w:ascii="Times New Roman" w:hAnsi="Times New Roman" w:cs="Times New Roman"/>
          <w:sz w:val="24"/>
          <w:szCs w:val="24"/>
        </w:rPr>
        <w:t>组</w:t>
      </w:r>
    </w:p>
    <w:p w14:paraId="05740E09"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）自出现基金合同终止事由之日起</w:t>
      </w:r>
      <w:r>
        <w:rPr>
          <w:rFonts w:ascii="Times New Roman" w:hAnsi="Times New Roman" w:cs="Times New Roman"/>
          <w:sz w:val="24"/>
          <w:szCs w:val="24"/>
        </w:rPr>
        <w:t>30</w:t>
      </w:r>
      <w:r>
        <w:rPr>
          <w:rFonts w:ascii="Times New Roman" w:hAnsi="Times New Roman" w:cs="Times New Roman"/>
          <w:sz w:val="24"/>
          <w:szCs w:val="24"/>
        </w:rPr>
        <w:t>个工作日内成立清算</w:t>
      </w:r>
      <w:r>
        <w:rPr>
          <w:rFonts w:ascii="Times New Roman" w:hAnsi="Times New Roman" w:cs="Times New Roman"/>
          <w:sz w:val="24"/>
        </w:rPr>
        <w:t>小</w:t>
      </w:r>
      <w:r>
        <w:rPr>
          <w:rFonts w:ascii="Times New Roman" w:hAnsi="Times New Roman" w:cs="Times New Roman"/>
          <w:sz w:val="24"/>
          <w:szCs w:val="24"/>
        </w:rPr>
        <w:t>组，基金管理人组织基金财产清算</w:t>
      </w:r>
      <w:r>
        <w:rPr>
          <w:rFonts w:ascii="Times New Roman" w:hAnsi="Times New Roman" w:cs="Times New Roman"/>
          <w:sz w:val="24"/>
        </w:rPr>
        <w:t>小</w:t>
      </w:r>
      <w:r>
        <w:rPr>
          <w:rFonts w:ascii="Times New Roman" w:hAnsi="Times New Roman" w:cs="Times New Roman"/>
          <w:sz w:val="24"/>
          <w:szCs w:val="24"/>
        </w:rPr>
        <w:t>组并在中国证监会的监督下进行基金清算。</w:t>
      </w:r>
    </w:p>
    <w:p w14:paraId="504B0FD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）基金财产清算</w:t>
      </w:r>
      <w:r>
        <w:rPr>
          <w:rFonts w:ascii="Times New Roman" w:hAnsi="Times New Roman" w:cs="Times New Roman"/>
          <w:sz w:val="24"/>
        </w:rPr>
        <w:t>小</w:t>
      </w:r>
      <w:r>
        <w:rPr>
          <w:rFonts w:ascii="Times New Roman" w:hAnsi="Times New Roman" w:cs="Times New Roman"/>
          <w:sz w:val="24"/>
          <w:szCs w:val="24"/>
        </w:rPr>
        <w:t>组成员由基金管理人、基金托管人、符合《中华人民共和国证券法》规定的注册会计师、律师以及中国证监会指定的人员组成。基金财产清算</w:t>
      </w:r>
      <w:r>
        <w:rPr>
          <w:rFonts w:ascii="Times New Roman" w:hAnsi="Times New Roman" w:cs="Times New Roman"/>
          <w:sz w:val="24"/>
        </w:rPr>
        <w:t>小</w:t>
      </w:r>
      <w:r>
        <w:rPr>
          <w:rFonts w:ascii="Times New Roman" w:hAnsi="Times New Roman" w:cs="Times New Roman"/>
          <w:sz w:val="24"/>
          <w:szCs w:val="24"/>
        </w:rPr>
        <w:t>组可以聘用必要的工作人员。</w:t>
      </w:r>
    </w:p>
    <w:p w14:paraId="6AAC6BA5"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）在基金财产清算过程中，基金管理人和基金托管人应各自履行职责，继续忠实、勤勉、尽责地履行基金合同和本托管协议规定的义务，维护基金份额持有人的合法权益。</w:t>
      </w:r>
    </w:p>
    <w:p w14:paraId="73AA9B64"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）基金财产清算</w:t>
      </w:r>
      <w:r>
        <w:rPr>
          <w:rFonts w:ascii="Times New Roman" w:hAnsi="Times New Roman" w:cs="Times New Roman"/>
          <w:sz w:val="24"/>
        </w:rPr>
        <w:t>小</w:t>
      </w:r>
      <w:r>
        <w:rPr>
          <w:rFonts w:ascii="Times New Roman" w:hAnsi="Times New Roman" w:cs="Times New Roman"/>
          <w:sz w:val="24"/>
          <w:szCs w:val="24"/>
        </w:rPr>
        <w:t>组负责基金财产的保管、清理、估价、变现和分配。基金财产清算</w:t>
      </w:r>
      <w:r>
        <w:rPr>
          <w:rFonts w:ascii="Times New Roman" w:hAnsi="Times New Roman" w:cs="Times New Roman"/>
          <w:sz w:val="24"/>
        </w:rPr>
        <w:t>小</w:t>
      </w:r>
      <w:r>
        <w:rPr>
          <w:rFonts w:ascii="Times New Roman" w:hAnsi="Times New Roman" w:cs="Times New Roman"/>
          <w:sz w:val="24"/>
          <w:szCs w:val="24"/>
        </w:rPr>
        <w:t>组可以依法进行必要的民事活动。</w:t>
      </w:r>
    </w:p>
    <w:p w14:paraId="73182E3B"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．基金财产清算程序</w:t>
      </w:r>
    </w:p>
    <w:p w14:paraId="01B284A6"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基金合同终止，应当按法律法规和基金合同的有关规定对基金财产进行清算。基金财产清算程序主要包括：</w:t>
      </w:r>
    </w:p>
    <w:p w14:paraId="3897877B" w14:textId="77777777" w:rsidR="00BB7E47" w:rsidRDefault="005406F2">
      <w:pPr>
        <w:spacing w:line="360" w:lineRule="auto"/>
        <w:ind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1</w:t>
      </w:r>
      <w:r>
        <w:rPr>
          <w:rFonts w:ascii="Times New Roman" w:hAnsi="Times New Roman" w:cs="Times New Roman"/>
          <w:bCs/>
          <w:sz w:val="24"/>
        </w:rPr>
        <w:t>）《基金合同》终止情形出现时，由基金财产清算小组统一接管基金；</w:t>
      </w:r>
    </w:p>
    <w:p w14:paraId="283555D9" w14:textId="77777777" w:rsidR="00BB7E47" w:rsidRDefault="005406F2">
      <w:pPr>
        <w:spacing w:line="360" w:lineRule="auto"/>
        <w:ind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2</w:t>
      </w:r>
      <w:r>
        <w:rPr>
          <w:rFonts w:ascii="Times New Roman" w:hAnsi="Times New Roman" w:cs="Times New Roman"/>
          <w:bCs/>
          <w:sz w:val="24"/>
        </w:rPr>
        <w:t>）对基金财产和债权债务进行清理和确认；</w:t>
      </w:r>
    </w:p>
    <w:p w14:paraId="212B4059" w14:textId="77777777" w:rsidR="00BB7E47" w:rsidRDefault="005406F2">
      <w:pPr>
        <w:spacing w:line="360" w:lineRule="auto"/>
        <w:ind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3</w:t>
      </w:r>
      <w:r>
        <w:rPr>
          <w:rFonts w:ascii="Times New Roman" w:hAnsi="Times New Roman" w:cs="Times New Roman"/>
          <w:bCs/>
          <w:sz w:val="24"/>
        </w:rPr>
        <w:t>）对基金财产进行估值和变现；</w:t>
      </w:r>
    </w:p>
    <w:p w14:paraId="135059FF" w14:textId="77777777" w:rsidR="00BB7E47" w:rsidRDefault="005406F2">
      <w:pPr>
        <w:spacing w:line="360" w:lineRule="auto"/>
        <w:ind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4</w:t>
      </w:r>
      <w:r>
        <w:rPr>
          <w:rFonts w:ascii="Times New Roman" w:hAnsi="Times New Roman" w:cs="Times New Roman"/>
          <w:bCs/>
          <w:sz w:val="24"/>
        </w:rPr>
        <w:t>）制作清算报告；</w:t>
      </w:r>
    </w:p>
    <w:p w14:paraId="0C993FF1" w14:textId="77777777" w:rsidR="00BB7E47" w:rsidRDefault="005406F2">
      <w:pPr>
        <w:spacing w:line="360" w:lineRule="auto"/>
        <w:ind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5</w:t>
      </w:r>
      <w:r>
        <w:rPr>
          <w:rFonts w:ascii="Times New Roman" w:hAnsi="Times New Roman" w:cs="Times New Roman"/>
          <w:bCs/>
          <w:sz w:val="24"/>
        </w:rPr>
        <w:t>）聘请会计师事务所对清算报告进行外部审计，聘请律师事务所对清算报告出具法律意见书；</w:t>
      </w:r>
    </w:p>
    <w:p w14:paraId="6E36ABC8" w14:textId="77777777" w:rsidR="00BB7E47" w:rsidRDefault="005406F2">
      <w:pPr>
        <w:spacing w:line="360" w:lineRule="auto"/>
        <w:ind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6</w:t>
      </w:r>
      <w:r>
        <w:rPr>
          <w:rFonts w:ascii="Times New Roman" w:hAnsi="Times New Roman" w:cs="Times New Roman"/>
          <w:bCs/>
          <w:sz w:val="24"/>
        </w:rPr>
        <w:t>）将清算报告报中国证监会备案并公告；</w:t>
      </w:r>
    </w:p>
    <w:p w14:paraId="42691071"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bCs/>
          <w:sz w:val="24"/>
        </w:rPr>
        <w:t>（</w:t>
      </w:r>
      <w:r>
        <w:rPr>
          <w:rFonts w:ascii="Times New Roman" w:hAnsi="Times New Roman" w:cs="Times New Roman"/>
          <w:bCs/>
          <w:sz w:val="24"/>
        </w:rPr>
        <w:t>7</w:t>
      </w:r>
      <w:r>
        <w:rPr>
          <w:rFonts w:ascii="Times New Roman" w:hAnsi="Times New Roman" w:cs="Times New Roman"/>
          <w:bCs/>
          <w:sz w:val="24"/>
        </w:rPr>
        <w:t>）对基金剩余财产进行分配。</w:t>
      </w:r>
    </w:p>
    <w:p w14:paraId="53A89165" w14:textId="77777777" w:rsidR="00BB7E47" w:rsidRDefault="005406F2">
      <w:pPr>
        <w:spacing w:line="360" w:lineRule="auto"/>
        <w:ind w:firstLine="480"/>
        <w:rPr>
          <w:rFonts w:ascii="Times New Roman" w:hAnsi="Times New Roman" w:cs="Times New Roman"/>
          <w:bCs/>
          <w:sz w:val="24"/>
        </w:rPr>
      </w:pP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bCs/>
          <w:sz w:val="24"/>
        </w:rPr>
        <w:t>基金财产清算的期限为</w:t>
      </w:r>
      <w:r>
        <w:rPr>
          <w:rFonts w:ascii="Times New Roman" w:hAnsi="Times New Roman" w:cs="Times New Roman"/>
          <w:bCs/>
          <w:sz w:val="24"/>
        </w:rPr>
        <w:t>6</w:t>
      </w:r>
      <w:r>
        <w:rPr>
          <w:rFonts w:ascii="Times New Roman" w:hAnsi="Times New Roman" w:cs="Times New Roman"/>
          <w:bCs/>
          <w:sz w:val="24"/>
        </w:rPr>
        <w:t>个月</w:t>
      </w:r>
      <w:r>
        <w:rPr>
          <w:rFonts w:ascii="Times New Roman" w:hAnsi="Times New Roman" w:cs="Times New Roman"/>
          <w:bCs/>
          <w:sz w:val="24"/>
          <w:szCs w:val="20"/>
        </w:rPr>
        <w:t>，但因本基金所持证券的流动性受到限制而不能及时变现的，清算期限相应顺延</w:t>
      </w:r>
      <w:r>
        <w:rPr>
          <w:rFonts w:ascii="Times New Roman" w:hAnsi="Times New Roman" w:cs="Times New Roman"/>
          <w:sz w:val="24"/>
        </w:rPr>
        <w:t>。</w:t>
      </w:r>
    </w:p>
    <w:p w14:paraId="04DEC170"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bCs/>
          <w:sz w:val="24"/>
        </w:rPr>
        <w:t xml:space="preserve">4. </w:t>
      </w:r>
      <w:r>
        <w:rPr>
          <w:rFonts w:ascii="Times New Roman" w:hAnsi="Times New Roman" w:cs="Times New Roman"/>
          <w:sz w:val="24"/>
          <w:szCs w:val="24"/>
        </w:rPr>
        <w:t>清算费用</w:t>
      </w:r>
    </w:p>
    <w:p w14:paraId="70AF8ED2"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清算费用是指基金财产清算</w:t>
      </w:r>
      <w:r>
        <w:rPr>
          <w:rFonts w:ascii="Times New Roman" w:hAnsi="Times New Roman" w:cs="Times New Roman"/>
          <w:sz w:val="24"/>
        </w:rPr>
        <w:t>小</w:t>
      </w:r>
      <w:r>
        <w:rPr>
          <w:rFonts w:ascii="Times New Roman" w:hAnsi="Times New Roman" w:cs="Times New Roman"/>
          <w:sz w:val="24"/>
          <w:szCs w:val="24"/>
        </w:rPr>
        <w:t>组在进行基金财产清算过程中发生的所有合理费用，清算费用由基金财产清算</w:t>
      </w:r>
      <w:r>
        <w:rPr>
          <w:rFonts w:ascii="Times New Roman" w:hAnsi="Times New Roman" w:cs="Times New Roman"/>
          <w:sz w:val="24"/>
        </w:rPr>
        <w:t>小</w:t>
      </w:r>
      <w:r>
        <w:rPr>
          <w:rFonts w:ascii="Times New Roman" w:hAnsi="Times New Roman" w:cs="Times New Roman"/>
          <w:sz w:val="24"/>
          <w:szCs w:val="24"/>
        </w:rPr>
        <w:t>组优先从基金财产中支付。</w:t>
      </w:r>
    </w:p>
    <w:p w14:paraId="1A0703C7"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．基金财产按下列顺序清偿：</w:t>
      </w:r>
    </w:p>
    <w:p w14:paraId="1A28BBF1"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）支付清算费用；</w:t>
      </w:r>
    </w:p>
    <w:p w14:paraId="27BECD71"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）交纳所欠税款；</w:t>
      </w:r>
    </w:p>
    <w:p w14:paraId="5DDC2710"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）清偿基金债务；</w:t>
      </w:r>
    </w:p>
    <w:p w14:paraId="61D387CC"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）按基金份额持有人持有的基金份额比例进行分配。</w:t>
      </w:r>
    </w:p>
    <w:p w14:paraId="0B0D8809"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基金财产未按前款（</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）项规定清偿前，不分配给基金份额持有人。</w:t>
      </w:r>
    </w:p>
    <w:p w14:paraId="21287C77"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．基金财产清算的公告</w:t>
      </w:r>
    </w:p>
    <w:p w14:paraId="293BA7B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color w:val="000000"/>
          <w:sz w:val="24"/>
          <w:szCs w:val="24"/>
        </w:rPr>
        <w:t>清算过程中的有关重大事项须及时公告；基金财产清算报告</w:t>
      </w:r>
      <w:proofErr w:type="gramStart"/>
      <w:r>
        <w:rPr>
          <w:rFonts w:ascii="Times New Roman" w:hAnsi="Times New Roman" w:cs="Times New Roman"/>
          <w:color w:val="000000"/>
          <w:sz w:val="24"/>
          <w:szCs w:val="24"/>
        </w:rPr>
        <w:t>经符合</w:t>
      </w:r>
      <w:proofErr w:type="gramEnd"/>
      <w:r>
        <w:rPr>
          <w:rFonts w:ascii="Times New Roman" w:hAnsi="Times New Roman" w:cs="Times New Roman"/>
          <w:color w:val="000000"/>
          <w:sz w:val="24"/>
          <w:szCs w:val="24"/>
        </w:rPr>
        <w:t>《中华人民共和国证券法》规定的会计师事务所审计并由律师事务所出具法律意见书后报中国证监会备案并公告。基金财产清算公告于基金财产清算报告报中国证监会备案后</w:t>
      </w:r>
      <w:r>
        <w:rPr>
          <w:rFonts w:ascii="Times New Roman" w:hAnsi="Times New Roman" w:cs="Times New Roman"/>
          <w:color w:val="000000"/>
          <w:sz w:val="24"/>
          <w:szCs w:val="24"/>
        </w:rPr>
        <w:t>5</w:t>
      </w:r>
      <w:r>
        <w:rPr>
          <w:rFonts w:ascii="Times New Roman" w:hAnsi="Times New Roman" w:cs="Times New Roman"/>
          <w:color w:val="000000"/>
          <w:sz w:val="24"/>
          <w:szCs w:val="24"/>
        </w:rPr>
        <w:t>个工作日内由基金财产清算小组进行公告。</w:t>
      </w:r>
    </w:p>
    <w:p w14:paraId="709ED493"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．基金财产清算账册及文件的保存</w:t>
      </w:r>
    </w:p>
    <w:p w14:paraId="184E0038"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基金财产清算账册及有关文件由基金托管人保存，保存期限不低于法律法规或监管机关规定的期限。</w:t>
      </w:r>
    </w:p>
    <w:p w14:paraId="036B1EB8" w14:textId="77777777" w:rsidR="00BB7E47" w:rsidRDefault="005406F2">
      <w:pPr>
        <w:widowControl/>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3" w:name="_Toc440289550"/>
      <w:bookmarkStart w:id="24" w:name="_Toc440289551"/>
    </w:p>
    <w:p w14:paraId="3F861910" w14:textId="77777777" w:rsidR="00BB7E47" w:rsidRDefault="005406F2">
      <w:pPr>
        <w:spacing w:afterLines="100" w:after="312" w:line="360" w:lineRule="auto"/>
        <w:jc w:val="center"/>
        <w:outlineLvl w:val="0"/>
        <w:rPr>
          <w:rFonts w:ascii="Times New Roman" w:hAnsi="Times New Roman" w:cs="Times New Roman"/>
          <w:b/>
          <w:sz w:val="30"/>
          <w:szCs w:val="30"/>
        </w:rPr>
      </w:pPr>
      <w:r>
        <w:rPr>
          <w:rFonts w:ascii="Times New Roman" w:hAnsi="Times New Roman" w:cs="Times New Roman"/>
          <w:b/>
          <w:sz w:val="30"/>
          <w:szCs w:val="30"/>
        </w:rPr>
        <w:lastRenderedPageBreak/>
        <w:t>十七、违约责任</w:t>
      </w:r>
      <w:bookmarkEnd w:id="23"/>
      <w:bookmarkEnd w:id="24"/>
    </w:p>
    <w:p w14:paraId="167C58B3"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（一）基金管理人、基金托管人不履行本协议或履行本协议不符合约定的，应当承担违约责任。</w:t>
      </w:r>
    </w:p>
    <w:p w14:paraId="3B63955B"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一方承担连带责任后有权根据另一方过错程度向另一方追偿。</w:t>
      </w:r>
    </w:p>
    <w:p w14:paraId="7665A516"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（三）一方当事人违约，给另一方当事人造成损失的，应就损失进行赔偿；给基金财产造成损失的，应就损失进行赔偿，另一方当事人有权利及义务代表基金向违约方追偿。</w:t>
      </w:r>
      <w:r>
        <w:rPr>
          <w:rFonts w:ascii="Times New Roman" w:hAnsi="Times New Roman" w:cs="Times New Roman"/>
          <w:bCs/>
          <w:sz w:val="24"/>
        </w:rPr>
        <w:t>对损失的赔偿，仅限于直接损失。</w:t>
      </w:r>
      <w:r>
        <w:rPr>
          <w:rFonts w:ascii="Times New Roman" w:hAnsi="Times New Roman" w:cs="Times New Roman"/>
          <w:sz w:val="24"/>
          <w:szCs w:val="24"/>
        </w:rPr>
        <w:t>但是如发生下列情况，当事人免责：</w:t>
      </w:r>
    </w:p>
    <w:p w14:paraId="347B45D0"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．不可抗力；</w:t>
      </w:r>
    </w:p>
    <w:p w14:paraId="78320A1C"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．基金管理人和</w:t>
      </w:r>
      <w:r>
        <w:rPr>
          <w:rFonts w:ascii="Times New Roman" w:hAnsi="Times New Roman" w:cs="Times New Roman"/>
          <w:sz w:val="24"/>
          <w:szCs w:val="24"/>
        </w:rPr>
        <w:t>/</w:t>
      </w:r>
      <w:r>
        <w:rPr>
          <w:rFonts w:ascii="Times New Roman" w:hAnsi="Times New Roman" w:cs="Times New Roman"/>
          <w:sz w:val="24"/>
          <w:szCs w:val="24"/>
        </w:rPr>
        <w:t>或基金托管人按照当时有效的法律法规、市场交易规则或中国证监会的规定作为或不作为而造成的损失等；</w:t>
      </w:r>
    </w:p>
    <w:p w14:paraId="32BAD44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．基金管理人由于按照基金合同规定的投资原则行使或不行使其投资权而造成的损失等。</w:t>
      </w:r>
    </w:p>
    <w:p w14:paraId="446F58D3"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四）一方当事人违约，另一方当事人在职责范围内有义务及时采取必要的措施，尽力防止损失的扩大；没有采取适当措施致使损失扩大的，不得就扩大的损失要求赔偿。守约方因防止损失扩大而支出的合理费用由违约方承担。</w:t>
      </w:r>
    </w:p>
    <w:p w14:paraId="7EAF8219"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（五）违约行为虽已发生，但本托管协议能够继续履行的，在最大限度地保护基金份额持有人利益的前提下，基金管理人和基金托管人应当继续履行本协议。</w:t>
      </w:r>
      <w:proofErr w:type="gramStart"/>
      <w:r>
        <w:rPr>
          <w:rFonts w:ascii="Times New Roman" w:hAnsi="Times New Roman" w:cs="Times New Roman"/>
          <w:sz w:val="24"/>
          <w:szCs w:val="24"/>
        </w:rPr>
        <w:t>若基金</w:t>
      </w:r>
      <w:proofErr w:type="gramEnd"/>
      <w:r>
        <w:rPr>
          <w:rFonts w:ascii="Times New Roman" w:hAnsi="Times New Roman" w:cs="Times New Roman"/>
          <w:sz w:val="24"/>
          <w:szCs w:val="24"/>
        </w:rPr>
        <w:t>管理人或基金托管人因履行本协议而被起诉，另一方应提供合理的必要支持。</w:t>
      </w:r>
    </w:p>
    <w:p w14:paraId="2E1EE50E"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lastRenderedPageBreak/>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72461A2E" w14:textId="77777777" w:rsidR="00BB7E47" w:rsidRDefault="005406F2">
      <w:pPr>
        <w:spacing w:afterLines="100" w:after="312" w:line="360" w:lineRule="auto"/>
        <w:jc w:val="center"/>
        <w:outlineLvl w:val="0"/>
        <w:rPr>
          <w:rFonts w:ascii="Times New Roman" w:hAnsi="Times New Roman" w:cs="Times New Roman"/>
        </w:rPr>
      </w:pPr>
      <w:r>
        <w:rPr>
          <w:rFonts w:ascii="Times New Roman" w:hAnsi="Times New Roman" w:cs="Times New Roman"/>
          <w:sz w:val="24"/>
          <w:szCs w:val="24"/>
        </w:rPr>
        <w:br w:type="page"/>
      </w:r>
      <w:bookmarkStart w:id="25" w:name="_Toc440289552"/>
      <w:r>
        <w:rPr>
          <w:rFonts w:ascii="Times New Roman" w:hAnsi="Times New Roman" w:cs="Times New Roman"/>
          <w:b/>
          <w:sz w:val="30"/>
          <w:szCs w:val="30"/>
        </w:rPr>
        <w:lastRenderedPageBreak/>
        <w:t>十八、争议解决方式</w:t>
      </w:r>
      <w:bookmarkEnd w:id="25"/>
    </w:p>
    <w:p w14:paraId="06675D96" w14:textId="0D3FE99E"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hint="eastAsia"/>
          <w:bCs/>
          <w:color w:val="000000"/>
          <w:sz w:val="24"/>
        </w:rPr>
        <w:t>双</w:t>
      </w:r>
      <w:r>
        <w:rPr>
          <w:rFonts w:ascii="Times New Roman" w:hAnsi="Times New Roman" w:cs="Times New Roman"/>
          <w:bCs/>
          <w:color w:val="000000"/>
          <w:sz w:val="24"/>
        </w:rPr>
        <w:t>方当事人同意，因本协议而产生的或与本协议有关的一切争议，如经友好协商未能解决的，任何一方均有权将争议提交上海国际经济贸易仲裁委员会，按照该会届时有效的仲裁规则进行仲裁。仲裁地点为上海市。仲裁裁决是终局的，对</w:t>
      </w:r>
      <w:r>
        <w:rPr>
          <w:rFonts w:ascii="Times New Roman" w:hAnsi="Times New Roman" w:cs="Times New Roman" w:hint="eastAsia"/>
          <w:bCs/>
          <w:color w:val="000000"/>
          <w:sz w:val="24"/>
        </w:rPr>
        <w:t>双</w:t>
      </w:r>
      <w:r>
        <w:rPr>
          <w:rFonts w:ascii="Times New Roman" w:hAnsi="Times New Roman" w:cs="Times New Roman"/>
          <w:bCs/>
          <w:color w:val="000000"/>
          <w:sz w:val="24"/>
        </w:rPr>
        <w:t>方当事人均有约束力，仲裁费用由败诉方承担，除非仲裁裁决另有规定</w:t>
      </w:r>
      <w:r>
        <w:rPr>
          <w:rFonts w:ascii="Times New Roman" w:hAnsi="Times New Roman" w:cs="Times New Roman"/>
          <w:color w:val="000000"/>
          <w:sz w:val="24"/>
          <w:szCs w:val="24"/>
        </w:rPr>
        <w:t>。</w:t>
      </w:r>
    </w:p>
    <w:p w14:paraId="467DF52B"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争议处理期间，双方当事人应恪守基金管理人和基金托管人职责，各自继续忠实、勤勉、尽责地履行基金合同和本托管协议规定的义务，维护基金份额持有人的合法权益。</w:t>
      </w:r>
    </w:p>
    <w:p w14:paraId="69335CDE"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本协议受中国法律</w:t>
      </w:r>
      <w:r>
        <w:rPr>
          <w:rFonts w:ascii="Times New Roman" w:hAnsi="Times New Roman" w:cs="Times New Roman"/>
          <w:bCs/>
          <w:sz w:val="24"/>
        </w:rPr>
        <w:t>（为托管协议之目的，不包括香港特别行政区、澳门特别行政区和台湾地区法律）</w:t>
      </w:r>
      <w:r>
        <w:rPr>
          <w:rFonts w:ascii="Times New Roman" w:hAnsi="Times New Roman" w:cs="Times New Roman"/>
          <w:sz w:val="24"/>
          <w:szCs w:val="24"/>
        </w:rPr>
        <w:t>管辖</w:t>
      </w:r>
      <w:r>
        <w:rPr>
          <w:rFonts w:ascii="Times New Roman" w:hAnsi="Times New Roman" w:cs="Times New Roman"/>
          <w:bCs/>
          <w:sz w:val="24"/>
        </w:rPr>
        <w:t>并从其解释</w:t>
      </w:r>
      <w:r>
        <w:rPr>
          <w:rFonts w:ascii="Times New Roman" w:hAnsi="Times New Roman" w:cs="Times New Roman"/>
          <w:sz w:val="24"/>
          <w:szCs w:val="24"/>
        </w:rPr>
        <w:t>。</w:t>
      </w:r>
    </w:p>
    <w:p w14:paraId="727EA037" w14:textId="77777777" w:rsidR="00BB7E47" w:rsidRDefault="005406F2">
      <w:pPr>
        <w:widowControl/>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6" w:name="_Toc440289553"/>
      <w:bookmarkStart w:id="27" w:name="_Toc440289554"/>
    </w:p>
    <w:p w14:paraId="7ED54993" w14:textId="77777777" w:rsidR="00BB7E47" w:rsidRDefault="005406F2">
      <w:pPr>
        <w:spacing w:afterLines="100" w:after="312" w:line="360" w:lineRule="auto"/>
        <w:jc w:val="center"/>
        <w:outlineLvl w:val="0"/>
        <w:rPr>
          <w:rFonts w:ascii="Times New Roman" w:hAnsi="Times New Roman" w:cs="Times New Roman"/>
          <w:b/>
          <w:sz w:val="30"/>
          <w:szCs w:val="30"/>
        </w:rPr>
      </w:pPr>
      <w:r>
        <w:rPr>
          <w:rFonts w:ascii="Times New Roman" w:hAnsi="Times New Roman" w:cs="Times New Roman"/>
          <w:b/>
          <w:sz w:val="30"/>
          <w:szCs w:val="30"/>
        </w:rPr>
        <w:lastRenderedPageBreak/>
        <w:t>十九、托管协议的效力</w:t>
      </w:r>
      <w:bookmarkEnd w:id="26"/>
      <w:bookmarkEnd w:id="27"/>
    </w:p>
    <w:p w14:paraId="5774864F"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双方对托管协议的效力约定如下：</w:t>
      </w:r>
    </w:p>
    <w:p w14:paraId="2C5172EC"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注册的文本为正式文本。</w:t>
      </w:r>
    </w:p>
    <w:p w14:paraId="4BB282A1"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（二）托管协议自基金合同生效之日起生效。托管协议的有效期自其生效之日起至基金财产清算结果报中国证监会备案并公告之日止。</w:t>
      </w:r>
    </w:p>
    <w:p w14:paraId="1A4A2B7D"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（三）托管协议自生效之日起对托管协议当事人具有同等的法律约束力。</w:t>
      </w:r>
    </w:p>
    <w:p w14:paraId="2A731B73"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（四）</w:t>
      </w:r>
      <w:r>
        <w:rPr>
          <w:rFonts w:ascii="Times New Roman" w:hAnsi="Times New Roman" w:cs="Times New Roman"/>
          <w:color w:val="000000"/>
          <w:sz w:val="24"/>
          <w:szCs w:val="24"/>
        </w:rPr>
        <w:t>本协议一式三份，协议双方各持一份，上报中国证监会一份，每份具有同等法律效力。</w:t>
      </w:r>
    </w:p>
    <w:p w14:paraId="1CF0D7BB" w14:textId="77777777" w:rsidR="00BB7E47" w:rsidRDefault="005406F2">
      <w:pPr>
        <w:widowControl/>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8" w:name="_Toc440289555"/>
      <w:bookmarkStart w:id="29" w:name="_Toc440289556"/>
    </w:p>
    <w:p w14:paraId="5E90E950" w14:textId="77777777" w:rsidR="00BB7E47" w:rsidRDefault="005406F2">
      <w:pPr>
        <w:spacing w:afterLines="100" w:after="312" w:line="360" w:lineRule="auto"/>
        <w:jc w:val="center"/>
        <w:outlineLvl w:val="0"/>
        <w:rPr>
          <w:rFonts w:ascii="Times New Roman" w:hAnsi="Times New Roman" w:cs="Times New Roman"/>
          <w:b/>
          <w:sz w:val="30"/>
          <w:szCs w:val="30"/>
        </w:rPr>
      </w:pPr>
      <w:r>
        <w:rPr>
          <w:rFonts w:ascii="Times New Roman" w:hAnsi="Times New Roman" w:cs="Times New Roman"/>
          <w:b/>
          <w:sz w:val="30"/>
          <w:szCs w:val="30"/>
        </w:rPr>
        <w:lastRenderedPageBreak/>
        <w:t>二十、其他事项</w:t>
      </w:r>
      <w:bookmarkEnd w:id="28"/>
      <w:bookmarkEnd w:id="29"/>
    </w:p>
    <w:p w14:paraId="78538DBB"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如发生有权司法机关依法冻结基金份额持有人的基金份额时，基金管理人应予以配合，承担司法协助义务。</w:t>
      </w:r>
    </w:p>
    <w:p w14:paraId="38713FD0" w14:textId="77777777" w:rsidR="00BB7E47" w:rsidRDefault="005406F2">
      <w:pPr>
        <w:spacing w:line="360" w:lineRule="auto"/>
        <w:ind w:firstLine="480"/>
        <w:rPr>
          <w:rFonts w:ascii="Times New Roman" w:hAnsi="Times New Roman" w:cs="Times New Roman"/>
          <w:sz w:val="24"/>
          <w:szCs w:val="24"/>
        </w:rPr>
      </w:pPr>
      <w:r>
        <w:rPr>
          <w:rFonts w:ascii="Times New Roman" w:hAnsi="Times New Roman" w:cs="Times New Roman"/>
          <w:sz w:val="24"/>
          <w:szCs w:val="24"/>
        </w:rPr>
        <w:t>除本协议有明确定义外，本协议的用语定义适用基金合同的约定。本协议未尽事宜，当事人依据基金合同、有关法律法规等规定协商办理。</w:t>
      </w:r>
    </w:p>
    <w:p w14:paraId="6BA9D238" w14:textId="77777777" w:rsidR="00BB7E47" w:rsidRDefault="005406F2">
      <w:pPr>
        <w:ind w:firstLine="480"/>
        <w:jc w:val="left"/>
        <w:rPr>
          <w:rFonts w:ascii="Times New Roman" w:hAnsi="Times New Roman" w:cs="Times New Roman"/>
          <w:color w:val="000000"/>
          <w:sz w:val="24"/>
          <w:szCs w:val="24"/>
        </w:rPr>
      </w:pPr>
      <w:r>
        <w:rPr>
          <w:rFonts w:ascii="Times New Roman" w:hAnsi="Times New Roman" w:cs="Times New Roman"/>
          <w:color w:val="000000"/>
          <w:sz w:val="24"/>
          <w:szCs w:val="24"/>
        </w:rPr>
        <w:t>管理人应按照金融机构反洗钱相关工作的规定，履行反洗钱义务。</w:t>
      </w:r>
    </w:p>
    <w:p w14:paraId="6CF2AF5E" w14:textId="77777777" w:rsidR="00BB7E47" w:rsidRDefault="00BB7E47">
      <w:pPr>
        <w:spacing w:line="360" w:lineRule="auto"/>
        <w:ind w:firstLine="480"/>
        <w:rPr>
          <w:rFonts w:ascii="Times New Roman" w:hAnsi="Times New Roman" w:cs="Times New Roman"/>
          <w:sz w:val="24"/>
          <w:szCs w:val="24"/>
        </w:rPr>
      </w:pPr>
    </w:p>
    <w:p w14:paraId="353EA142" w14:textId="77777777" w:rsidR="00BB7E47" w:rsidRDefault="005406F2">
      <w:pPr>
        <w:widowControl/>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30" w:name="_Toc440289557"/>
      <w:bookmarkStart w:id="31" w:name="_Toc440289558"/>
    </w:p>
    <w:p w14:paraId="3EBD4169" w14:textId="77777777" w:rsidR="00BB7E47" w:rsidRDefault="005406F2">
      <w:pPr>
        <w:spacing w:afterLines="100" w:after="312" w:line="360" w:lineRule="auto"/>
        <w:jc w:val="center"/>
        <w:outlineLvl w:val="0"/>
        <w:rPr>
          <w:rFonts w:ascii="Times New Roman" w:hAnsi="Times New Roman" w:cs="Times New Roman"/>
          <w:b/>
          <w:sz w:val="30"/>
          <w:szCs w:val="30"/>
        </w:rPr>
      </w:pPr>
      <w:r>
        <w:rPr>
          <w:rFonts w:ascii="Times New Roman" w:hAnsi="Times New Roman" w:cs="Times New Roman"/>
          <w:b/>
          <w:sz w:val="30"/>
          <w:szCs w:val="30"/>
        </w:rPr>
        <w:lastRenderedPageBreak/>
        <w:t>二十一、托管协议的签订</w:t>
      </w:r>
      <w:bookmarkEnd w:id="30"/>
      <w:bookmarkEnd w:id="31"/>
    </w:p>
    <w:p w14:paraId="7D832A37" w14:textId="77777777" w:rsidR="00BB7E47" w:rsidRDefault="005406F2">
      <w:pPr>
        <w:spacing w:line="360" w:lineRule="auto"/>
        <w:ind w:firstLine="480"/>
        <w:rPr>
          <w:rFonts w:ascii="Times New Roman" w:hAnsi="Times New Roman" w:cs="Times New Roman"/>
          <w:sz w:val="24"/>
        </w:rPr>
      </w:pPr>
      <w:r>
        <w:rPr>
          <w:rFonts w:ascii="Times New Roman" w:hAnsi="Times New Roman" w:cs="Times New Roman"/>
          <w:sz w:val="24"/>
        </w:rPr>
        <w:t>本托管协议经基金管理人和基金托管人认可后，由该双方当事人在基金托管协议上盖章，并由各自的法定代表人或授权代表签署，并注明基金托管协议的签订地点和签订日期。</w:t>
      </w:r>
    </w:p>
    <w:p w14:paraId="2BF76E5A" w14:textId="77777777" w:rsidR="00BB7E47" w:rsidRDefault="00BB7E47">
      <w:pPr>
        <w:spacing w:line="360" w:lineRule="auto"/>
        <w:ind w:firstLine="480"/>
        <w:rPr>
          <w:rFonts w:ascii="Times New Roman" w:hAnsi="Times New Roman" w:cs="Times New Roman"/>
          <w:sz w:val="24"/>
        </w:rPr>
      </w:pPr>
    </w:p>
    <w:p w14:paraId="4E513B9A" w14:textId="77777777" w:rsidR="00BB7E47" w:rsidRDefault="005406F2">
      <w:pPr>
        <w:spacing w:line="360" w:lineRule="auto"/>
        <w:ind w:firstLine="480"/>
        <w:rPr>
          <w:rFonts w:ascii="Times New Roman" w:hAnsi="Times New Roman" w:cs="Times New Roman"/>
          <w:sz w:val="24"/>
          <w:szCs w:val="24"/>
        </w:rPr>
        <w:sectPr w:rsidR="00BB7E47">
          <w:headerReference w:type="default" r:id="rId12"/>
          <w:footerReference w:type="default" r:id="rId13"/>
          <w:headerReference w:type="first" r:id="rId14"/>
          <w:footerReference w:type="first" r:id="rId15"/>
          <w:pgSz w:w="11906" w:h="16838"/>
          <w:pgMar w:top="1440" w:right="1797" w:bottom="1440" w:left="1797" w:header="851" w:footer="992" w:gutter="0"/>
          <w:pgNumType w:start="1"/>
          <w:cols w:space="720"/>
          <w:titlePg/>
          <w:docGrid w:type="lines" w:linePitch="312"/>
        </w:sectPr>
      </w:pPr>
      <w:r>
        <w:rPr>
          <w:rFonts w:ascii="Times New Roman" w:hAnsi="Times New Roman" w:cs="Times New Roman"/>
          <w:sz w:val="24"/>
        </w:rPr>
        <w:t>（以下无正文）</w:t>
      </w:r>
    </w:p>
    <w:p w14:paraId="1D6852AC" w14:textId="1706F8B1" w:rsidR="00BB7E47" w:rsidRDefault="005406F2">
      <w:pPr>
        <w:pStyle w:val="a7"/>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lastRenderedPageBreak/>
        <w:t>（本页无正文，为《鑫元稳丰利率债债券型证券投资基金托管协议》之签署页）</w:t>
      </w:r>
    </w:p>
    <w:p w14:paraId="46384E26" w14:textId="77777777" w:rsidR="00BB7E47" w:rsidRDefault="00BB7E47">
      <w:pPr>
        <w:spacing w:before="100" w:beforeAutospacing="1" w:after="100" w:afterAutospacing="1" w:line="400" w:lineRule="exact"/>
        <w:ind w:firstLine="403"/>
        <w:rPr>
          <w:rFonts w:ascii="Times New Roman" w:hAnsi="Times New Roman" w:cs="Times New Roman"/>
          <w:szCs w:val="21"/>
        </w:rPr>
      </w:pPr>
    </w:p>
    <w:p w14:paraId="791AF473" w14:textId="77777777" w:rsidR="00BB7E47" w:rsidRDefault="005406F2">
      <w:pPr>
        <w:spacing w:before="100" w:beforeAutospacing="1" w:after="100" w:afterAutospacing="1" w:line="400" w:lineRule="exact"/>
        <w:ind w:firstLine="403"/>
        <w:rPr>
          <w:rFonts w:ascii="Times New Roman" w:hAnsi="Times New Roman" w:cs="Times New Roman"/>
          <w:bCs/>
          <w:sz w:val="24"/>
        </w:rPr>
      </w:pPr>
      <w:r>
        <w:rPr>
          <w:rFonts w:ascii="Times New Roman" w:hAnsi="Times New Roman" w:cs="Times New Roman"/>
          <w:bCs/>
          <w:sz w:val="24"/>
        </w:rPr>
        <w:t>基金管理人：</w:t>
      </w:r>
      <w:proofErr w:type="gramStart"/>
      <w:r>
        <w:rPr>
          <w:rFonts w:ascii="Times New Roman" w:hAnsi="Times New Roman" w:cs="Times New Roman"/>
          <w:bCs/>
          <w:sz w:val="24"/>
        </w:rPr>
        <w:t>鑫元基金</w:t>
      </w:r>
      <w:proofErr w:type="gramEnd"/>
      <w:r>
        <w:rPr>
          <w:rFonts w:ascii="Times New Roman" w:hAnsi="Times New Roman" w:cs="Times New Roman"/>
          <w:bCs/>
          <w:sz w:val="24"/>
        </w:rPr>
        <w:t>管理有限公司（公章）</w:t>
      </w:r>
    </w:p>
    <w:p w14:paraId="1A20C828" w14:textId="77777777" w:rsidR="00BB7E47" w:rsidRDefault="00BB7E47">
      <w:pPr>
        <w:pStyle w:val="Web"/>
        <w:spacing w:line="400" w:lineRule="exact"/>
        <w:rPr>
          <w:rFonts w:ascii="Times New Roman" w:hAnsi="Times New Roman" w:cs="Times New Roman"/>
          <w:bCs/>
        </w:rPr>
      </w:pPr>
    </w:p>
    <w:p w14:paraId="76AB5B0E" w14:textId="77777777" w:rsidR="00BB7E47" w:rsidRDefault="00BB7E47">
      <w:pPr>
        <w:pStyle w:val="Web"/>
        <w:spacing w:line="400" w:lineRule="exact"/>
        <w:rPr>
          <w:rFonts w:ascii="Times New Roman" w:hAnsi="Times New Roman" w:cs="Times New Roman"/>
          <w:bCs/>
        </w:rPr>
      </w:pPr>
    </w:p>
    <w:p w14:paraId="26D10E97" w14:textId="77777777" w:rsidR="00BB7E47" w:rsidRDefault="005406F2">
      <w:pPr>
        <w:pStyle w:val="Web"/>
        <w:spacing w:line="400" w:lineRule="exact"/>
        <w:ind w:firstLine="403"/>
        <w:rPr>
          <w:rFonts w:ascii="Times New Roman" w:hAnsi="Times New Roman" w:cs="Times New Roman"/>
          <w:bCs/>
        </w:rPr>
      </w:pPr>
      <w:r>
        <w:rPr>
          <w:rFonts w:ascii="Times New Roman" w:hAnsi="Times New Roman" w:cs="Times New Roman"/>
          <w:bCs/>
        </w:rPr>
        <w:t>法定代表人或授权代表：</w:t>
      </w:r>
      <w:r>
        <w:rPr>
          <w:rFonts w:ascii="Times New Roman" w:hAnsi="Times New Roman" w:cs="Times New Roman"/>
          <w:bCs/>
        </w:rPr>
        <w:t xml:space="preserve"> </w:t>
      </w:r>
    </w:p>
    <w:p w14:paraId="3D297CEA" w14:textId="77777777" w:rsidR="00BB7E47" w:rsidRDefault="00BB7E47">
      <w:pPr>
        <w:pStyle w:val="Web"/>
        <w:spacing w:line="400" w:lineRule="exact"/>
        <w:ind w:firstLine="420"/>
        <w:rPr>
          <w:rFonts w:ascii="Times New Roman" w:hAnsi="Times New Roman" w:cs="Times New Roman"/>
          <w:bCs/>
        </w:rPr>
      </w:pPr>
    </w:p>
    <w:p w14:paraId="7BA9F07A" w14:textId="77777777" w:rsidR="00BB7E47" w:rsidRDefault="00BB7E47">
      <w:pPr>
        <w:pStyle w:val="Web"/>
        <w:spacing w:line="400" w:lineRule="exact"/>
        <w:rPr>
          <w:rFonts w:ascii="Times New Roman" w:hAnsi="Times New Roman" w:cs="Times New Roman"/>
          <w:bCs/>
          <w:sz w:val="21"/>
          <w:szCs w:val="21"/>
        </w:rPr>
      </w:pPr>
    </w:p>
    <w:p w14:paraId="417B5F7F" w14:textId="77777777" w:rsidR="00BB7E47" w:rsidRDefault="00BB7E47">
      <w:pPr>
        <w:pStyle w:val="Web"/>
        <w:spacing w:line="400" w:lineRule="exact"/>
        <w:rPr>
          <w:rFonts w:ascii="Times New Roman" w:hAnsi="Times New Roman" w:cs="Times New Roman"/>
          <w:bCs/>
          <w:sz w:val="21"/>
          <w:szCs w:val="21"/>
        </w:rPr>
      </w:pPr>
    </w:p>
    <w:p w14:paraId="350B699F" w14:textId="132577BB" w:rsidR="00BB7E47" w:rsidRDefault="005406F2">
      <w:pPr>
        <w:pStyle w:val="Web"/>
        <w:spacing w:line="400" w:lineRule="exact"/>
        <w:ind w:firstLine="403"/>
        <w:rPr>
          <w:rFonts w:ascii="Times New Roman" w:hAnsi="Times New Roman" w:cs="Times New Roman"/>
          <w:bCs/>
        </w:rPr>
      </w:pPr>
      <w:r>
        <w:rPr>
          <w:rFonts w:ascii="Times New Roman" w:hAnsi="Times New Roman" w:cs="Times New Roman"/>
          <w:bCs/>
        </w:rPr>
        <w:t>基金托管人</w:t>
      </w:r>
      <w:r>
        <w:rPr>
          <w:rFonts w:ascii="Times New Roman" w:hAnsi="Times New Roman" w:cs="Times New Roman"/>
          <w:bCs/>
        </w:rPr>
        <w:t>:</w:t>
      </w:r>
      <w:r>
        <w:rPr>
          <w:rFonts w:ascii="Times New Roman" w:hAnsi="Times New Roman" w:cs="Times New Roman"/>
          <w:bCs/>
        </w:rPr>
        <w:t>恒丰银行股份有限公司（</w:t>
      </w:r>
      <w:r>
        <w:rPr>
          <w:rFonts w:ascii="Times New Roman" w:hAnsi="Times New Roman" w:cs="Times New Roman" w:hint="eastAsia"/>
          <w:bCs/>
        </w:rPr>
        <w:t>盖</w:t>
      </w:r>
      <w:r>
        <w:rPr>
          <w:rFonts w:ascii="Times New Roman" w:hAnsi="Times New Roman" w:cs="Times New Roman"/>
          <w:bCs/>
        </w:rPr>
        <w:t>章）</w:t>
      </w:r>
    </w:p>
    <w:p w14:paraId="11DFD47A" w14:textId="77777777" w:rsidR="00BB7E47" w:rsidRDefault="00BB7E47">
      <w:pPr>
        <w:pStyle w:val="Web"/>
        <w:spacing w:line="400" w:lineRule="exact"/>
        <w:ind w:firstLine="403"/>
        <w:rPr>
          <w:rFonts w:ascii="Times New Roman" w:hAnsi="Times New Roman" w:cs="Times New Roman"/>
          <w:bCs/>
        </w:rPr>
      </w:pPr>
    </w:p>
    <w:p w14:paraId="52E70C62" w14:textId="77777777" w:rsidR="00BB7E47" w:rsidRDefault="005406F2">
      <w:pPr>
        <w:pStyle w:val="Web"/>
        <w:spacing w:line="400" w:lineRule="exact"/>
        <w:ind w:firstLine="403"/>
        <w:rPr>
          <w:rFonts w:ascii="Times New Roman" w:hAnsi="Times New Roman" w:cs="Times New Roman"/>
          <w:bCs/>
        </w:rPr>
      </w:pPr>
      <w:r>
        <w:rPr>
          <w:rFonts w:ascii="Times New Roman" w:hAnsi="Times New Roman" w:cs="Times New Roman"/>
          <w:bCs/>
        </w:rPr>
        <w:t>法定代表人或授权代表：</w:t>
      </w:r>
    </w:p>
    <w:p w14:paraId="04D2F10F" w14:textId="77777777" w:rsidR="00BB7E47" w:rsidRDefault="00BB7E47">
      <w:pPr>
        <w:pStyle w:val="Web"/>
        <w:spacing w:line="400" w:lineRule="exact"/>
        <w:ind w:firstLine="420"/>
        <w:rPr>
          <w:rFonts w:ascii="Times New Roman" w:hAnsi="Times New Roman" w:cs="Times New Roman"/>
          <w:bCs/>
        </w:rPr>
      </w:pPr>
    </w:p>
    <w:p w14:paraId="2B767DAE" w14:textId="77777777" w:rsidR="00BB7E47" w:rsidRDefault="00BB7E47">
      <w:pPr>
        <w:pStyle w:val="Web"/>
        <w:spacing w:line="400" w:lineRule="exact"/>
        <w:ind w:firstLine="420"/>
        <w:rPr>
          <w:rFonts w:ascii="Times New Roman" w:hAnsi="Times New Roman" w:cs="Times New Roman"/>
          <w:bCs/>
        </w:rPr>
      </w:pPr>
    </w:p>
    <w:p w14:paraId="7BC03CA5" w14:textId="77777777" w:rsidR="00BB7E47" w:rsidRDefault="00BB7E47">
      <w:pPr>
        <w:pStyle w:val="Web"/>
        <w:spacing w:line="400" w:lineRule="exact"/>
        <w:ind w:firstLine="420"/>
        <w:rPr>
          <w:rFonts w:ascii="Times New Roman" w:hAnsi="Times New Roman" w:cs="Times New Roman"/>
          <w:bCs/>
        </w:rPr>
      </w:pPr>
    </w:p>
    <w:p w14:paraId="18E38E3D" w14:textId="77777777" w:rsidR="00BB7E47" w:rsidRDefault="005406F2">
      <w:pPr>
        <w:pStyle w:val="Web"/>
        <w:spacing w:line="400" w:lineRule="exact"/>
        <w:ind w:firstLine="403"/>
        <w:rPr>
          <w:rFonts w:ascii="Times New Roman" w:hAnsi="Times New Roman" w:cs="Times New Roman"/>
          <w:bCs/>
        </w:rPr>
      </w:pPr>
      <w:r>
        <w:rPr>
          <w:rFonts w:ascii="Times New Roman" w:hAnsi="Times New Roman" w:cs="Times New Roman"/>
          <w:bCs/>
        </w:rPr>
        <w:t>签订日：</w:t>
      </w:r>
      <w:r>
        <w:rPr>
          <w:rFonts w:ascii="Times New Roman" w:hAnsi="Times New Roman" w:cs="Times New Roman"/>
          <w:bCs/>
        </w:rPr>
        <w:t xml:space="preserve">      </w:t>
      </w:r>
      <w:r>
        <w:rPr>
          <w:rFonts w:ascii="Times New Roman" w:hAnsi="Times New Roman" w:cs="Times New Roman"/>
          <w:bCs/>
        </w:rPr>
        <w:t>年</w:t>
      </w:r>
      <w:r>
        <w:rPr>
          <w:rFonts w:ascii="Times New Roman" w:hAnsi="Times New Roman" w:cs="Times New Roman"/>
          <w:bCs/>
        </w:rPr>
        <w:t xml:space="preserve">     </w:t>
      </w:r>
      <w:r>
        <w:rPr>
          <w:rFonts w:ascii="Times New Roman" w:hAnsi="Times New Roman" w:cs="Times New Roman"/>
          <w:bCs/>
        </w:rPr>
        <w:t>月</w:t>
      </w:r>
      <w:r>
        <w:rPr>
          <w:rFonts w:ascii="Times New Roman" w:hAnsi="Times New Roman" w:cs="Times New Roman"/>
          <w:bCs/>
        </w:rPr>
        <w:t xml:space="preserve">     </w:t>
      </w:r>
      <w:r>
        <w:rPr>
          <w:rFonts w:ascii="Times New Roman" w:hAnsi="Times New Roman" w:cs="Times New Roman"/>
          <w:bCs/>
        </w:rPr>
        <w:t>日</w:t>
      </w:r>
    </w:p>
    <w:p w14:paraId="6CD47D38" w14:textId="77777777" w:rsidR="00BB7E47" w:rsidRDefault="005406F2">
      <w:pPr>
        <w:pStyle w:val="Web"/>
        <w:spacing w:line="400" w:lineRule="exact"/>
        <w:ind w:firstLine="420"/>
        <w:rPr>
          <w:rFonts w:ascii="Times New Roman" w:hAnsi="Times New Roman" w:cs="Times New Roman"/>
          <w:bCs/>
        </w:rPr>
      </w:pPr>
      <w:r>
        <w:rPr>
          <w:rFonts w:ascii="Times New Roman" w:hAnsi="Times New Roman" w:cs="Times New Roman"/>
          <w:bCs/>
        </w:rPr>
        <w:t>签订地：上海</w:t>
      </w:r>
    </w:p>
    <w:p w14:paraId="2ED4BCFD" w14:textId="77777777" w:rsidR="00BB7E47" w:rsidRDefault="00BB7E47">
      <w:pPr>
        <w:pStyle w:val="Web"/>
        <w:spacing w:line="400" w:lineRule="exact"/>
        <w:ind w:firstLine="540"/>
        <w:rPr>
          <w:rFonts w:ascii="Times New Roman" w:hAnsi="Times New Roman" w:cs="Times New Roman"/>
          <w:bCs/>
        </w:rPr>
      </w:pPr>
    </w:p>
    <w:p w14:paraId="32630243" w14:textId="77777777" w:rsidR="00BB7E47" w:rsidRDefault="00BB7E47">
      <w:pPr>
        <w:rPr>
          <w:rFonts w:ascii="Times New Roman" w:hAnsi="Times New Roman" w:cs="Times New Roman"/>
        </w:rPr>
      </w:pPr>
    </w:p>
    <w:sectPr w:rsidR="00BB7E47">
      <w:headerReference w:type="first" r:id="rId16"/>
      <w:footerReference w:type="first" r:id="rId17"/>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D0C73" w14:textId="77777777" w:rsidR="00AC22EA" w:rsidRDefault="00AC22EA">
      <w:pPr>
        <w:spacing w:after="0" w:line="240" w:lineRule="auto"/>
      </w:pPr>
      <w:r>
        <w:separator/>
      </w:r>
    </w:p>
  </w:endnote>
  <w:endnote w:type="continuationSeparator" w:id="0">
    <w:p w14:paraId="1EC7D7B6" w14:textId="77777777" w:rsidR="00AC22EA" w:rsidRDefault="00AC2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0AD3C" w14:textId="77777777" w:rsidR="00CF0220" w:rsidRDefault="00CF0220">
    <w:pPr>
      <w:pStyle w:val="ab"/>
      <w:snapToGrid/>
      <w:rPr>
        <w:rFonts w:ascii="宋体"/>
      </w:rPr>
    </w:pPr>
    <w:r>
      <w:rPr>
        <w:noProof/>
      </w:rPr>
      <mc:AlternateContent>
        <mc:Choice Requires="wps">
          <w:drawing>
            <wp:anchor distT="0" distB="0" distL="113665" distR="113665" simplePos="0" relativeHeight="251659264" behindDoc="0" locked="0" layoutInCell="1" allowOverlap="1" wp14:anchorId="73DB3B40" wp14:editId="3C7CEF26">
              <wp:simplePos x="0" y="0"/>
              <wp:positionH relativeFrom="margin">
                <wp:align>center</wp:align>
              </wp:positionH>
              <wp:positionV relativeFrom="paragraph">
                <wp:posOffset>0</wp:posOffset>
              </wp:positionV>
              <wp:extent cx="67310" cy="314325"/>
              <wp:effectExtent l="0" t="0" r="0" b="0"/>
              <wp:wrapNone/>
              <wp:docPr id="1" name="文本框 2"/>
              <wp:cNvGraphicFramePr/>
              <a:graphic xmlns:a="http://schemas.openxmlformats.org/drawingml/2006/main">
                <a:graphicData uri="http://schemas.microsoft.com/office/word/2010/wordprocessingShape">
                  <wps:wsp>
                    <wps:cNvSpPr/>
                    <wps:spPr>
                      <a:xfrm>
                        <a:off x="0" y="0"/>
                        <a:ext cx="67608" cy="314396"/>
                      </a:xfrm>
                      <a:prstGeom prst="rect">
                        <a:avLst/>
                      </a:prstGeom>
                      <a:noFill/>
                      <a:ln w="9525" cap="flat" cmpd="sng">
                        <a:noFill/>
                        <a:prstDash val="solid"/>
                        <a:round/>
                      </a:ln>
                    </wps:spPr>
                    <wps:txbx>
                      <w:txbxContent>
                        <w:p w14:paraId="03246DD7" w14:textId="77777777" w:rsidR="00CF0220" w:rsidRDefault="00CF0220">
                          <w:pPr>
                            <w:jc w:val="center"/>
                          </w:pPr>
                        </w:p>
                      </w:txbxContent>
                    </wps:txbx>
                    <wps:bodyPr vert="horz" wrap="none" lIns="0" tIns="0" rIns="0" bIns="0" anchor="t" anchorCtr="0" upright="1">
                      <a:spAutoFit/>
                    </wps:bodyPr>
                  </wps:wsp>
                </a:graphicData>
              </a:graphic>
            </wp:anchor>
          </w:drawing>
        </mc:Choice>
        <mc:Fallback>
          <w:pict>
            <v:rect w14:anchorId="73DB3B40" id="文本框 2" o:spid="_x0000_s1026" style="position:absolute;margin-left:0;margin-top:0;width:5.3pt;height:24.75pt;z-index:251659264;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" filled="f" stroked="f">
              <v:stroke joinstyle="round"/>
              <v:textbox style="mso-fit-shape-to-text:t" inset="0,0,0,0">
                <w:txbxContent>
                  <w:p w14:paraId="03246DD7" w14:textId="77777777" w:rsidR="00CF0220" w:rsidRDefault="00CF0220">
                    <w:pPr>
                      <w:jc w:val="center"/>
                    </w:pP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0A66E" w14:textId="77777777" w:rsidR="00CF0220" w:rsidRDefault="00CF0220">
    <w:pPr>
      <w:pStyle w:val="ab"/>
      <w:snapToGrid/>
      <w:jc w:val="center"/>
    </w:pPr>
    <w:r>
      <w:fldChar w:fldCharType="begin"/>
    </w:r>
    <w:r>
      <w:instrText xml:space="preserve"> PAGE   \* MERGEFORMAT </w:instrText>
    </w:r>
    <w:r>
      <w:fldChar w:fldCharType="separate"/>
    </w:r>
    <w:r>
      <w:rPr>
        <w:lang w:val="zh-CN"/>
      </w:rPr>
      <w:t>1</w:t>
    </w:r>
    <w:r>
      <w:rPr>
        <w:lang w:val="zh-CN"/>
      </w:rPr>
      <w:fldChar w:fldCharType="end"/>
    </w:r>
  </w:p>
  <w:p w14:paraId="297DCC90" w14:textId="77777777" w:rsidR="00CF0220" w:rsidRDefault="00CF0220">
    <w:pPr>
      <w:pStyle w:val="ab"/>
      <w:snapToGri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7CFF" w14:textId="77777777" w:rsidR="00CF0220" w:rsidRDefault="00CF0220">
    <w:pPr>
      <w:pStyle w:val="ab"/>
      <w:snapToGrid/>
      <w:jc w:val="center"/>
      <w:rPr>
        <w:rFonts w:ascii="宋体"/>
      </w:rPr>
    </w:pPr>
    <w:r>
      <w:rPr>
        <w:noProof/>
      </w:rPr>
      <mc:AlternateContent>
        <mc:Choice Requires="wps">
          <w:drawing>
            <wp:anchor distT="0" distB="0" distL="113665" distR="113665" simplePos="0" relativeHeight="251660288" behindDoc="0" locked="0" layoutInCell="1" allowOverlap="1" wp14:anchorId="1FEF6A09" wp14:editId="3EC39DF5">
              <wp:simplePos x="0" y="0"/>
              <wp:positionH relativeFrom="margin">
                <wp:align>center</wp:align>
              </wp:positionH>
              <wp:positionV relativeFrom="paragraph">
                <wp:posOffset>0</wp:posOffset>
              </wp:positionV>
              <wp:extent cx="67310" cy="314325"/>
              <wp:effectExtent l="0" t="0" r="0" b="0"/>
              <wp:wrapNone/>
              <wp:docPr id="4" name="文本框 3"/>
              <wp:cNvGraphicFramePr/>
              <a:graphic xmlns:a="http://schemas.openxmlformats.org/drawingml/2006/main">
                <a:graphicData uri="http://schemas.microsoft.com/office/word/2010/wordprocessingShape">
                  <wps:wsp>
                    <wps:cNvSpPr/>
                    <wps:spPr>
                      <a:xfrm>
                        <a:off x="0" y="0"/>
                        <a:ext cx="67608" cy="314396"/>
                      </a:xfrm>
                      <a:prstGeom prst="rect">
                        <a:avLst/>
                      </a:prstGeom>
                      <a:noFill/>
                      <a:ln w="9525" cap="flat" cmpd="sng">
                        <a:noFill/>
                        <a:prstDash val="solid"/>
                        <a:round/>
                      </a:ln>
                    </wps:spPr>
                    <wps:txbx>
                      <w:txbxContent>
                        <w:p w14:paraId="1EDB5CF3" w14:textId="77777777" w:rsidR="00CF0220" w:rsidRDefault="00CF0220">
                          <w:pPr>
                            <w:jc w:val="center"/>
                          </w:pPr>
                          <w:r>
                            <w:fldChar w:fldCharType="begin"/>
                          </w:r>
                          <w:r>
                            <w:instrText xml:space="preserve"> PAGE   \* MERGEFORMAT </w:instrText>
                          </w:r>
                          <w:r>
                            <w:fldChar w:fldCharType="separate"/>
                          </w:r>
                          <w:r w:rsidR="00191CE8" w:rsidRPr="00191CE8">
                            <w:rPr>
                              <w:noProof/>
                              <w:lang w:val="zh-CN"/>
                            </w:rPr>
                            <w:t>52</w:t>
                          </w:r>
                          <w:r>
                            <w:rPr>
                              <w:lang w:val="zh-CN"/>
                            </w:rPr>
                            <w:fldChar w:fldCharType="end"/>
                          </w:r>
                        </w:p>
                      </w:txbxContent>
                    </wps:txbx>
                    <wps:bodyPr vert="horz" wrap="none" lIns="0" tIns="0" rIns="0" bIns="0" anchor="t" anchorCtr="0" upright="1">
                      <a:spAutoFit/>
                    </wps:bodyPr>
                  </wps:wsp>
                </a:graphicData>
              </a:graphic>
            </wp:anchor>
          </w:drawing>
        </mc:Choice>
        <mc:Fallback>
          <w:pict>
            <v:rect w14:anchorId="1FEF6A09" id="文本框 3" o:spid="_x0000_s1027" style="position:absolute;left:0;text-align:left;margin-left:0;margin-top:0;width:5.3pt;height:24.75pt;z-index:251660288;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" filled="f" stroked="f">
              <v:stroke joinstyle="round"/>
              <v:textbox style="mso-fit-shape-to-text:t" inset="0,0,0,0">
                <w:txbxContent>
                  <w:p w14:paraId="1EDB5CF3" w14:textId="77777777" w:rsidR="00CF0220" w:rsidRDefault="00CF0220">
                    <w:pPr>
                      <w:jc w:val="center"/>
                    </w:pPr>
                    <w:r>
                      <w:fldChar w:fldCharType="begin"/>
                    </w:r>
                    <w:r>
                      <w:instrText xml:space="preserve"> PAGE   \* MERGEFORMAT </w:instrText>
                    </w:r>
                    <w:r>
                      <w:fldChar w:fldCharType="separate"/>
                    </w:r>
                    <w:r w:rsidR="00191CE8" w:rsidRPr="00191CE8">
                      <w:rPr>
                        <w:noProof/>
                        <w:lang w:val="zh-CN"/>
                      </w:rPr>
                      <w:t>52</w:t>
                    </w:r>
                    <w:r>
                      <w:rPr>
                        <w:lang w:val="zh-CN"/>
                      </w:rPr>
                      <w:fldChar w:fldCharType="end"/>
                    </w:r>
                  </w:p>
                </w:txbxContent>
              </v:textbox>
              <w10:wrap anchorx="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0BF4A" w14:textId="77777777" w:rsidR="00CF0220" w:rsidRDefault="00CF0220">
    <w:pPr>
      <w:pStyle w:val="ab"/>
      <w:snapToGrid/>
      <w:jc w:val="center"/>
    </w:pPr>
    <w:r>
      <w:rPr>
        <w:noProof/>
      </w:rPr>
      <mc:AlternateContent>
        <mc:Choice Requires="wps">
          <w:drawing>
            <wp:anchor distT="0" distB="0" distL="113665" distR="113665" simplePos="0" relativeHeight="251661312" behindDoc="0" locked="0" layoutInCell="1" allowOverlap="1" wp14:anchorId="718F8CCD" wp14:editId="2B199BA5">
              <wp:simplePos x="0" y="0"/>
              <wp:positionH relativeFrom="margin">
                <wp:align>center</wp:align>
              </wp:positionH>
              <wp:positionV relativeFrom="paragraph">
                <wp:posOffset>0</wp:posOffset>
              </wp:positionV>
              <wp:extent cx="67310" cy="314325"/>
              <wp:effectExtent l="0" t="0" r="0" b="0"/>
              <wp:wrapNone/>
              <wp:docPr id="7" name="文本框 4"/>
              <wp:cNvGraphicFramePr/>
              <a:graphic xmlns:a="http://schemas.openxmlformats.org/drawingml/2006/main">
                <a:graphicData uri="http://schemas.microsoft.com/office/word/2010/wordprocessingShape">
                  <wps:wsp>
                    <wps:cNvSpPr/>
                    <wps:spPr>
                      <a:xfrm>
                        <a:off x="0" y="0"/>
                        <a:ext cx="67608" cy="314396"/>
                      </a:xfrm>
                      <a:prstGeom prst="rect">
                        <a:avLst/>
                      </a:prstGeom>
                      <a:noFill/>
                      <a:ln w="9525" cap="flat" cmpd="sng">
                        <a:noFill/>
                        <a:prstDash val="solid"/>
                        <a:round/>
                      </a:ln>
                    </wps:spPr>
                    <wps:txbx>
                      <w:txbxContent>
                        <w:p w14:paraId="54F8D356" w14:textId="77777777" w:rsidR="00CF0220" w:rsidRDefault="00CF0220">
                          <w:pPr>
                            <w:jc w:val="center"/>
                          </w:pPr>
                          <w:r>
                            <w:fldChar w:fldCharType="begin"/>
                          </w:r>
                          <w:r>
                            <w:instrText xml:space="preserve"> PAGE   \* MERGEFORMAT </w:instrText>
                          </w:r>
                          <w:r>
                            <w:fldChar w:fldCharType="separate"/>
                          </w:r>
                          <w:r w:rsidR="00191CE8" w:rsidRPr="00191CE8">
                            <w:rPr>
                              <w:noProof/>
                              <w:lang w:val="zh-CN"/>
                            </w:rPr>
                            <w:t>1</w:t>
                          </w:r>
                          <w:r>
                            <w:rPr>
                              <w:lang w:val="zh-CN"/>
                            </w:rPr>
                            <w:fldChar w:fldCharType="end"/>
                          </w:r>
                        </w:p>
                      </w:txbxContent>
                    </wps:txbx>
                    <wps:bodyPr vert="horz" wrap="none" lIns="0" tIns="0" rIns="0" bIns="0" anchor="t" anchorCtr="0" upright="1">
                      <a:spAutoFit/>
                    </wps:bodyPr>
                  </wps:wsp>
                </a:graphicData>
              </a:graphic>
            </wp:anchor>
          </w:drawing>
        </mc:Choice>
        <mc:Fallback>
          <w:pict>
            <v:rect w14:anchorId="718F8CCD" id="文本框 4" o:spid="_x0000_s1028" style="position:absolute;left:0;text-align:left;margin-left:0;margin-top:0;width:5.3pt;height:24.75pt;z-index:251661312;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" filled="f" stroked="f">
              <v:stroke joinstyle="round"/>
              <v:textbox style="mso-fit-shape-to-text:t" inset="0,0,0,0">
                <w:txbxContent>
                  <w:p w14:paraId="54F8D356" w14:textId="77777777" w:rsidR="00CF0220" w:rsidRDefault="00CF0220">
                    <w:pPr>
                      <w:jc w:val="center"/>
                    </w:pPr>
                    <w:r>
                      <w:fldChar w:fldCharType="begin"/>
                    </w:r>
                    <w:r>
                      <w:instrText xml:space="preserve"> PAGE   \* MERGEFORMAT </w:instrText>
                    </w:r>
                    <w:r>
                      <w:fldChar w:fldCharType="separate"/>
                    </w:r>
                    <w:r w:rsidR="00191CE8" w:rsidRPr="00191CE8">
                      <w:rPr>
                        <w:noProof/>
                        <w:lang w:val="zh-CN"/>
                      </w:rPr>
                      <w:t>1</w:t>
                    </w:r>
                    <w:r>
                      <w:rPr>
                        <w:lang w:val="zh-CN"/>
                      </w:rPr>
                      <w:fldChar w:fldCharType="end"/>
                    </w:r>
                  </w:p>
                </w:txbxContent>
              </v:textbox>
              <w10:wrap anchorx="margin"/>
            </v:rect>
          </w:pict>
        </mc:Fallback>
      </mc:AlternateContent>
    </w:r>
  </w:p>
  <w:p w14:paraId="5DB77031" w14:textId="77777777" w:rsidR="00CF0220" w:rsidRDefault="00CF0220">
    <w:pPr>
      <w:pStyle w:val="ab"/>
      <w:snapToGri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EC7F3" w14:textId="77777777" w:rsidR="00CF0220" w:rsidRDefault="00CF0220">
    <w:pPr>
      <w:pStyle w:val="ab"/>
      <w:snapToGrid/>
    </w:pPr>
    <w:r>
      <w:rPr>
        <w:noProof/>
      </w:rPr>
      <mc:AlternateContent>
        <mc:Choice Requires="wps">
          <w:drawing>
            <wp:anchor distT="0" distB="0" distL="113665" distR="113665" simplePos="0" relativeHeight="251662336" behindDoc="0" locked="0" layoutInCell="1" allowOverlap="1" wp14:anchorId="1074D67F" wp14:editId="6D557989">
              <wp:simplePos x="0" y="0"/>
              <wp:positionH relativeFrom="margin">
                <wp:align>center</wp:align>
              </wp:positionH>
              <wp:positionV relativeFrom="paragraph">
                <wp:posOffset>0</wp:posOffset>
              </wp:positionV>
              <wp:extent cx="12700" cy="144780"/>
              <wp:effectExtent l="0" t="0" r="0" b="0"/>
              <wp:wrapNone/>
              <wp:docPr id="10" name="文本框 5"/>
              <wp:cNvGraphicFramePr/>
              <a:graphic xmlns:a="http://schemas.openxmlformats.org/drawingml/2006/main">
                <a:graphicData uri="http://schemas.microsoft.com/office/word/2010/wordprocessingShape">
                  <wps:wsp>
                    <wps:cNvSpPr/>
                    <wps:spPr>
                      <a:xfrm>
                        <a:off x="0" y="0"/>
                        <a:ext cx="12877" cy="144847"/>
                      </a:xfrm>
                      <a:prstGeom prst="rect">
                        <a:avLst/>
                      </a:prstGeom>
                      <a:noFill/>
                      <a:ln w="9525" cap="flat" cmpd="sng">
                        <a:noFill/>
                        <a:prstDash val="solid"/>
                        <a:round/>
                      </a:ln>
                    </wps:spPr>
                    <wps:txbx>
                      <w:txbxContent>
                        <w:p w14:paraId="17D55E85" w14:textId="77777777" w:rsidR="00CF0220" w:rsidRDefault="00CF0220">
                          <w:pPr>
                            <w:snapToGrid w:val="0"/>
                            <w:rPr>
                              <w:sz w:val="2"/>
                            </w:rPr>
                          </w:pPr>
                          <w:r>
                            <w:rPr>
                              <w:rFonts w:hint="eastAsia"/>
                              <w:sz w:val="2"/>
                            </w:rPr>
                            <w:fldChar w:fldCharType="begin"/>
                          </w:r>
                          <w:r>
                            <w:rPr>
                              <w:rFonts w:hint="eastAsia"/>
                              <w:sz w:val="2"/>
                            </w:rPr>
                            <w:instrText xml:space="preserve"> PAGE  \* MERGEFORMAT </w:instrText>
                          </w:r>
                          <w:r>
                            <w:rPr>
                              <w:rFonts w:hint="eastAsia"/>
                              <w:sz w:val="2"/>
                            </w:rPr>
                            <w:fldChar w:fldCharType="separate"/>
                          </w:r>
                          <w:r w:rsidR="00191CE8">
                            <w:rPr>
                              <w:noProof/>
                              <w:sz w:val="2"/>
                            </w:rPr>
                            <w:t>53</w:t>
                          </w:r>
                          <w:r>
                            <w:rPr>
                              <w:rFonts w:hint="eastAsia"/>
                              <w:sz w:val="2"/>
                            </w:rPr>
                            <w:fldChar w:fldCharType="end"/>
                          </w:r>
                        </w:p>
                      </w:txbxContent>
                    </wps:txbx>
                    <wps:bodyPr vert="horz" wrap="none" lIns="0" tIns="0" rIns="0" bIns="0" anchor="t" anchorCtr="0" upright="1">
                      <a:spAutoFit/>
                    </wps:bodyPr>
                  </wps:wsp>
                </a:graphicData>
              </a:graphic>
            </wp:anchor>
          </w:drawing>
        </mc:Choice>
        <mc:Fallback>
          <w:pict>
            <v:rect w14:anchorId="1074D67F" id="文本框 5" o:spid="_x0000_s1029" style="position:absolute;margin-left:0;margin-top:0;width:1pt;height:11.4pt;z-index:251662336;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" filled="f" stroked="f">
              <v:stroke joinstyle="round"/>
              <v:textbox style="mso-fit-shape-to-text:t" inset="0,0,0,0">
                <w:txbxContent>
                  <w:p w14:paraId="17D55E85" w14:textId="77777777" w:rsidR="00CF0220" w:rsidRDefault="00CF0220">
                    <w:pPr>
                      <w:snapToGrid w:val="0"/>
                      <w:rPr>
                        <w:sz w:val="2"/>
                      </w:rPr>
                    </w:pPr>
                    <w:r>
                      <w:rPr>
                        <w:rFonts w:hint="eastAsia"/>
                        <w:sz w:val="2"/>
                      </w:rPr>
                      <w:fldChar w:fldCharType="begin"/>
                    </w:r>
                    <w:r>
                      <w:rPr>
                        <w:rFonts w:hint="eastAsia"/>
                        <w:sz w:val="2"/>
                      </w:rPr>
                      <w:instrText xml:space="preserve"> PAGE  \* MERGEFORMAT </w:instrText>
                    </w:r>
                    <w:r>
                      <w:rPr>
                        <w:rFonts w:hint="eastAsia"/>
                        <w:sz w:val="2"/>
                      </w:rPr>
                      <w:fldChar w:fldCharType="separate"/>
                    </w:r>
                    <w:r w:rsidR="00191CE8">
                      <w:rPr>
                        <w:noProof/>
                        <w:sz w:val="2"/>
                      </w:rPr>
                      <w:t>53</w:t>
                    </w:r>
                    <w:r>
                      <w:rPr>
                        <w:rFonts w:hint="eastAsia"/>
                        <w:sz w:val="2"/>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5ADA8" w14:textId="77777777" w:rsidR="00AC22EA" w:rsidRDefault="00AC22EA">
      <w:pPr>
        <w:spacing w:after="0" w:line="240" w:lineRule="auto"/>
      </w:pPr>
      <w:r>
        <w:separator/>
      </w:r>
    </w:p>
  </w:footnote>
  <w:footnote w:type="continuationSeparator" w:id="0">
    <w:p w14:paraId="18A12E0B" w14:textId="77777777" w:rsidR="00AC22EA" w:rsidRDefault="00AC2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19D9C" w14:textId="77777777" w:rsidR="00CF0220" w:rsidRDefault="00CF0220">
    <w:pPr>
      <w:pStyle w:val="ac"/>
      <w:pBdr>
        <w:bottom w:val="none" w:sz="0" w:space="0" w:color="auto"/>
      </w:pBdr>
      <w:tabs>
        <w:tab w:val="clear" w:pos="8306"/>
        <w:tab w:val="right" w:pos="8312"/>
      </w:tabs>
      <w:snapToGrid/>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2B07F" w14:textId="77777777" w:rsidR="00CF0220" w:rsidRDefault="00CF0220">
    <w:pPr>
      <w:pStyle w:val="ac"/>
      <w:pBdr>
        <w:bottom w:val="none" w:sz="0" w:space="0" w:color="auto"/>
      </w:pBdr>
      <w:snapToGrid/>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F6639" w14:textId="77777777" w:rsidR="00CF0220" w:rsidRDefault="00CF0220">
    <w:pPr>
      <w:pStyle w:val="ac"/>
      <w:pBdr>
        <w:bottom w:val="none" w:sz="0" w:space="0" w:color="auto"/>
      </w:pBdr>
      <w:tabs>
        <w:tab w:val="clear" w:pos="8306"/>
        <w:tab w:val="right" w:pos="8312"/>
      </w:tabs>
      <w:snapToGrid/>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E2E33" w14:textId="77777777" w:rsidR="00CF0220" w:rsidRDefault="00CF0220">
    <w:pPr>
      <w:pStyle w:val="ac"/>
      <w:pBdr>
        <w:bottom w:val="none" w:sz="0" w:space="0" w:color="auto"/>
      </w:pBdr>
      <w:snapToGrid/>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10C95" w14:textId="77777777" w:rsidR="00CF0220" w:rsidRDefault="00CF0220">
    <w:pPr>
      <w:pStyle w:val="ac"/>
      <w:snapToGri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D3C1C3"/>
    <w:multiLevelType w:val="singleLevel"/>
    <w:tmpl w:val="C4D3C1C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noPunctuationKerning/>
  <w:characterSpacingControl w:val="doNotCompress"/>
  <w:hdrShapeDefaults>
    <o:shapedefaults v:ext="edit" spidmax="12289"/>
  </w:hdrShapeDefaults>
  <w:footnotePr>
    <w:footnote w:id="-1"/>
    <w:footnote w:id="0"/>
  </w:footnotePr>
  <w:endnotePr>
    <w:endnote w:id="-1"/>
    <w:endnote w:id="0"/>
  </w:endnotePr>
  <w:compat>
    <w:spaceForUL/>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2OTg1N2UzODgyODNjZDY3MGI2YWM1OWI5MmMxYWQifQ=="/>
  </w:docVars>
  <w:rsids>
    <w:rsidRoot w:val="00420890"/>
    <w:rsid w:val="E73E3635"/>
    <w:rsid w:val="F5EF4E80"/>
    <w:rsid w:val="F763877B"/>
    <w:rsid w:val="00077F1E"/>
    <w:rsid w:val="000863EF"/>
    <w:rsid w:val="000F0C14"/>
    <w:rsid w:val="000F0CB9"/>
    <w:rsid w:val="00100F29"/>
    <w:rsid w:val="00125CD9"/>
    <w:rsid w:val="0013752F"/>
    <w:rsid w:val="00141595"/>
    <w:rsid w:val="00153C10"/>
    <w:rsid w:val="00191CE8"/>
    <w:rsid w:val="00196696"/>
    <w:rsid w:val="001A3998"/>
    <w:rsid w:val="001A66AE"/>
    <w:rsid w:val="001B4814"/>
    <w:rsid w:val="001F576D"/>
    <w:rsid w:val="0020744A"/>
    <w:rsid w:val="002433D2"/>
    <w:rsid w:val="0028512E"/>
    <w:rsid w:val="002A4822"/>
    <w:rsid w:val="002C383A"/>
    <w:rsid w:val="00353571"/>
    <w:rsid w:val="00353824"/>
    <w:rsid w:val="00374D8E"/>
    <w:rsid w:val="0040302F"/>
    <w:rsid w:val="00420890"/>
    <w:rsid w:val="00427E6C"/>
    <w:rsid w:val="00466B43"/>
    <w:rsid w:val="004850BC"/>
    <w:rsid w:val="004C5931"/>
    <w:rsid w:val="004F2CDA"/>
    <w:rsid w:val="00522137"/>
    <w:rsid w:val="005406F2"/>
    <w:rsid w:val="005653C6"/>
    <w:rsid w:val="005E0A1D"/>
    <w:rsid w:val="00621576"/>
    <w:rsid w:val="00674BFA"/>
    <w:rsid w:val="006B3642"/>
    <w:rsid w:val="006D2444"/>
    <w:rsid w:val="00701B0C"/>
    <w:rsid w:val="00740DDE"/>
    <w:rsid w:val="007B19E8"/>
    <w:rsid w:val="007F1DD1"/>
    <w:rsid w:val="0080027F"/>
    <w:rsid w:val="00857F6D"/>
    <w:rsid w:val="00882E39"/>
    <w:rsid w:val="0089687B"/>
    <w:rsid w:val="009251A0"/>
    <w:rsid w:val="00925D10"/>
    <w:rsid w:val="0093225A"/>
    <w:rsid w:val="009344DE"/>
    <w:rsid w:val="009576E8"/>
    <w:rsid w:val="00987B64"/>
    <w:rsid w:val="00A0030B"/>
    <w:rsid w:val="00A0168C"/>
    <w:rsid w:val="00AC22EA"/>
    <w:rsid w:val="00AE0A3C"/>
    <w:rsid w:val="00AF7C8A"/>
    <w:rsid w:val="00B93C31"/>
    <w:rsid w:val="00B95AA7"/>
    <w:rsid w:val="00BB7E47"/>
    <w:rsid w:val="00BF6634"/>
    <w:rsid w:val="00C10084"/>
    <w:rsid w:val="00C20BB9"/>
    <w:rsid w:val="00C734C1"/>
    <w:rsid w:val="00C85770"/>
    <w:rsid w:val="00C913CA"/>
    <w:rsid w:val="00CF0220"/>
    <w:rsid w:val="00D6057A"/>
    <w:rsid w:val="00D62DAD"/>
    <w:rsid w:val="00D6382B"/>
    <w:rsid w:val="00DB4D00"/>
    <w:rsid w:val="00DC535F"/>
    <w:rsid w:val="00E336AB"/>
    <w:rsid w:val="00E3536C"/>
    <w:rsid w:val="00E602EA"/>
    <w:rsid w:val="00E94AA2"/>
    <w:rsid w:val="00EA6832"/>
    <w:rsid w:val="00EC4361"/>
    <w:rsid w:val="00EE57B1"/>
    <w:rsid w:val="00F222B6"/>
    <w:rsid w:val="00F25A19"/>
    <w:rsid w:val="00F65E20"/>
    <w:rsid w:val="00F669C3"/>
    <w:rsid w:val="00F93B73"/>
    <w:rsid w:val="00FA26C9"/>
    <w:rsid w:val="00FC4342"/>
    <w:rsid w:val="00FD70AD"/>
    <w:rsid w:val="02827444"/>
    <w:rsid w:val="0B1F2E73"/>
    <w:rsid w:val="0B4965C1"/>
    <w:rsid w:val="12EC1FE2"/>
    <w:rsid w:val="174F26D1"/>
    <w:rsid w:val="1C4D3B3B"/>
    <w:rsid w:val="22415C93"/>
    <w:rsid w:val="27207212"/>
    <w:rsid w:val="30B96414"/>
    <w:rsid w:val="31730165"/>
    <w:rsid w:val="356142FB"/>
    <w:rsid w:val="36354BEC"/>
    <w:rsid w:val="3AA1777E"/>
    <w:rsid w:val="3CF4E725"/>
    <w:rsid w:val="4E3773F8"/>
    <w:rsid w:val="55B16E4D"/>
    <w:rsid w:val="5645059D"/>
    <w:rsid w:val="5BB02A83"/>
    <w:rsid w:val="5F9E58A7"/>
    <w:rsid w:val="6432179F"/>
    <w:rsid w:val="6EC35DC9"/>
    <w:rsid w:val="77FEA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39B877"/>
  <w15:docId w15:val="{EFEBC0E1-88C1-4799-AD8D-6532B6E8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lsdException w:name="toc 5" w:uiPriority="0"/>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uiPriority="0" w:qFormat="1"/>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jc w:val="both"/>
    </w:pPr>
    <w:rPr>
      <w:rFonts w:ascii="Calibri" w:hAnsi="Calibri" w:cs="Calibri"/>
      <w:sz w:val="21"/>
      <w:szCs w:val="22"/>
    </w:rPr>
  </w:style>
  <w:style w:type="paragraph" w:styleId="1">
    <w:name w:val="heading 1"/>
    <w:basedOn w:val="a"/>
    <w:next w:val="a"/>
    <w:pPr>
      <w:keepNext/>
      <w:keepLines/>
      <w:spacing w:line="360" w:lineRule="auto"/>
      <w:outlineLvl w:val="0"/>
    </w:pPr>
    <w:rPr>
      <w:b/>
      <w:bCs/>
      <w:sz w:val="28"/>
      <w:szCs w:val="44"/>
    </w:rPr>
  </w:style>
  <w:style w:type="paragraph" w:styleId="2">
    <w:name w:val="heading 2"/>
    <w:basedOn w:val="a"/>
    <w:next w:val="a"/>
    <w:pPr>
      <w:keepNext/>
      <w:keepLines/>
      <w:spacing w:before="260" w:after="260" w:line="415" w:lineRule="auto"/>
      <w:outlineLvl w:val="1"/>
    </w:pPr>
    <w:rPr>
      <w:rFonts w:ascii="Cambria" w:hAnsi="Cambria"/>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paragraph" w:styleId="4">
    <w:name w:val="heading 4"/>
    <w:basedOn w:val="a"/>
    <w:next w:val="a"/>
    <w:qFormat/>
    <w:pPr>
      <w:keepNext/>
      <w:keepLines/>
      <w:spacing w:before="320"/>
      <w:outlineLvl w:val="3"/>
    </w:pPr>
    <w:rPr>
      <w:rFonts w:ascii="Arial" w:hAnsi="Arial" w:cs="Arial"/>
      <w:b/>
      <w:bCs/>
      <w:sz w:val="26"/>
      <w:szCs w:val="26"/>
    </w:rPr>
  </w:style>
  <w:style w:type="paragraph" w:styleId="5">
    <w:name w:val="heading 5"/>
    <w:basedOn w:val="a"/>
    <w:next w:val="a"/>
    <w:qFormat/>
    <w:pPr>
      <w:keepNext/>
      <w:keepLines/>
      <w:spacing w:before="320"/>
      <w:outlineLvl w:val="4"/>
    </w:pPr>
    <w:rPr>
      <w:rFonts w:ascii="Arial" w:hAnsi="Arial" w:cs="Arial"/>
      <w:b/>
      <w:bCs/>
      <w:sz w:val="24"/>
      <w:szCs w:val="24"/>
    </w:rPr>
  </w:style>
  <w:style w:type="paragraph" w:styleId="6">
    <w:name w:val="heading 6"/>
    <w:basedOn w:val="a"/>
    <w:next w:val="a"/>
    <w:qFormat/>
    <w:pPr>
      <w:keepNext/>
      <w:keepLines/>
      <w:spacing w:before="320"/>
      <w:outlineLvl w:val="5"/>
    </w:pPr>
    <w:rPr>
      <w:rFonts w:ascii="Arial" w:hAnsi="Arial" w:cs="Arial"/>
      <w:b/>
      <w:bCs/>
      <w:sz w:val="22"/>
    </w:rPr>
  </w:style>
  <w:style w:type="paragraph" w:styleId="7">
    <w:name w:val="heading 7"/>
    <w:basedOn w:val="a"/>
    <w:next w:val="a"/>
    <w:qFormat/>
    <w:pPr>
      <w:keepNext/>
      <w:keepLines/>
      <w:spacing w:before="320"/>
      <w:outlineLvl w:val="6"/>
    </w:pPr>
    <w:rPr>
      <w:rFonts w:ascii="Arial" w:hAnsi="Arial" w:cs="Arial"/>
      <w:b/>
      <w:bCs/>
      <w:i/>
      <w:iCs/>
      <w:sz w:val="22"/>
    </w:rPr>
  </w:style>
  <w:style w:type="paragraph" w:styleId="8">
    <w:name w:val="heading 8"/>
    <w:basedOn w:val="a"/>
    <w:next w:val="a"/>
    <w:qFormat/>
    <w:pPr>
      <w:keepNext/>
      <w:keepLines/>
      <w:spacing w:before="320"/>
      <w:outlineLvl w:val="7"/>
    </w:pPr>
    <w:rPr>
      <w:rFonts w:ascii="Arial" w:hAnsi="Arial" w:cs="Arial"/>
      <w:i/>
      <w:iCs/>
      <w:sz w:val="22"/>
    </w:rPr>
  </w:style>
  <w:style w:type="paragraph" w:styleId="9">
    <w:name w:val="heading 9"/>
    <w:basedOn w:val="a"/>
    <w:next w:val="a"/>
    <w:qFormat/>
    <w:pPr>
      <w:keepNext/>
      <w:keepLines/>
      <w:spacing w:before="320"/>
      <w:outlineLvl w:val="8"/>
    </w:pPr>
    <w:rPr>
      <w:rFonts w:ascii="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qFormat/>
    <w:pPr>
      <w:jc w:val="left"/>
    </w:pPr>
  </w:style>
  <w:style w:type="paragraph" w:styleId="70">
    <w:name w:val="toc 7"/>
    <w:basedOn w:val="a"/>
    <w:next w:val="a"/>
    <w:qFormat/>
    <w:pPr>
      <w:spacing w:after="57"/>
      <w:ind w:left="1701"/>
    </w:pPr>
  </w:style>
  <w:style w:type="paragraph" w:styleId="a5">
    <w:name w:val="caption"/>
    <w:basedOn w:val="a"/>
    <w:next w:val="a"/>
    <w:qFormat/>
    <w:rPr>
      <w:b/>
      <w:bCs/>
      <w:color w:val="5B9BD5"/>
      <w:sz w:val="18"/>
      <w:szCs w:val="18"/>
    </w:rPr>
  </w:style>
  <w:style w:type="paragraph" w:styleId="a6">
    <w:name w:val="Document Map"/>
    <w:basedOn w:val="a"/>
    <w:rPr>
      <w:rFonts w:ascii="宋体"/>
      <w:sz w:val="18"/>
      <w:szCs w:val="18"/>
    </w:rPr>
  </w:style>
  <w:style w:type="paragraph" w:styleId="a7">
    <w:name w:val="Body Text Indent"/>
    <w:basedOn w:val="a"/>
    <w:qFormat/>
    <w:pPr>
      <w:spacing w:after="120"/>
      <w:ind w:left="200"/>
    </w:pPr>
  </w:style>
  <w:style w:type="paragraph" w:styleId="50">
    <w:name w:val="toc 5"/>
    <w:basedOn w:val="a"/>
    <w:next w:val="a"/>
    <w:pPr>
      <w:ind w:left="1680"/>
    </w:pPr>
  </w:style>
  <w:style w:type="paragraph" w:styleId="30">
    <w:name w:val="toc 3"/>
    <w:basedOn w:val="a"/>
    <w:next w:val="a"/>
    <w:qFormat/>
    <w:pPr>
      <w:ind w:left="840"/>
    </w:pPr>
  </w:style>
  <w:style w:type="paragraph" w:styleId="a8">
    <w:name w:val="Plain Text"/>
    <w:basedOn w:val="a"/>
    <w:qFormat/>
    <w:rPr>
      <w:rFonts w:ascii="宋体"/>
      <w:szCs w:val="21"/>
    </w:rPr>
  </w:style>
  <w:style w:type="paragraph" w:styleId="80">
    <w:name w:val="toc 8"/>
    <w:basedOn w:val="a"/>
    <w:next w:val="a"/>
    <w:qFormat/>
    <w:pPr>
      <w:spacing w:after="57"/>
      <w:ind w:left="1984"/>
    </w:pPr>
  </w:style>
  <w:style w:type="paragraph" w:styleId="a9">
    <w:name w:val="endnote text"/>
    <w:basedOn w:val="a"/>
    <w:pPr>
      <w:spacing w:after="0" w:line="240" w:lineRule="auto"/>
    </w:pPr>
    <w:rPr>
      <w:sz w:val="20"/>
    </w:rPr>
  </w:style>
  <w:style w:type="paragraph" w:styleId="aa">
    <w:name w:val="Balloon Text"/>
    <w:basedOn w:val="a"/>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widowControl/>
      <w:spacing w:after="100"/>
      <w:jc w:val="left"/>
    </w:pPr>
    <w:rPr>
      <w:sz w:val="22"/>
    </w:rPr>
  </w:style>
  <w:style w:type="paragraph" w:styleId="40">
    <w:name w:val="toc 4"/>
    <w:basedOn w:val="a"/>
    <w:next w:val="a"/>
    <w:pPr>
      <w:ind w:left="1260"/>
    </w:pPr>
  </w:style>
  <w:style w:type="paragraph" w:styleId="ad">
    <w:name w:val="Subtitle"/>
    <w:basedOn w:val="a"/>
    <w:next w:val="a"/>
    <w:qFormat/>
    <w:pPr>
      <w:spacing w:before="200"/>
    </w:pPr>
    <w:rPr>
      <w:sz w:val="24"/>
      <w:szCs w:val="24"/>
    </w:rPr>
  </w:style>
  <w:style w:type="paragraph" w:styleId="ae">
    <w:name w:val="footnote text"/>
    <w:basedOn w:val="a"/>
    <w:qFormat/>
    <w:pPr>
      <w:spacing w:after="40" w:line="240" w:lineRule="auto"/>
    </w:pPr>
    <w:rPr>
      <w:sz w:val="18"/>
    </w:rPr>
  </w:style>
  <w:style w:type="paragraph" w:styleId="60">
    <w:name w:val="toc 6"/>
    <w:basedOn w:val="a"/>
    <w:next w:val="a"/>
    <w:qFormat/>
    <w:pPr>
      <w:spacing w:after="57"/>
      <w:ind w:left="1417"/>
    </w:pPr>
  </w:style>
  <w:style w:type="paragraph" w:styleId="31">
    <w:name w:val="Body Text Indent 3"/>
    <w:basedOn w:val="a"/>
    <w:qFormat/>
    <w:pPr>
      <w:spacing w:after="120"/>
      <w:ind w:left="200"/>
    </w:pPr>
    <w:rPr>
      <w:rFonts w:ascii="Times New Roman" w:hAnsi="Times New Roman"/>
      <w:sz w:val="16"/>
      <w:szCs w:val="16"/>
    </w:rPr>
  </w:style>
  <w:style w:type="paragraph" w:styleId="af">
    <w:name w:val="table of figures"/>
    <w:basedOn w:val="a"/>
    <w:next w:val="a"/>
    <w:qFormat/>
    <w:pPr>
      <w:spacing w:after="0"/>
    </w:pPr>
  </w:style>
  <w:style w:type="paragraph" w:styleId="20">
    <w:name w:val="toc 2"/>
    <w:basedOn w:val="a"/>
    <w:next w:val="a"/>
    <w:qFormat/>
    <w:pPr>
      <w:ind w:left="420"/>
    </w:pPr>
  </w:style>
  <w:style w:type="paragraph" w:styleId="90">
    <w:name w:val="toc 9"/>
    <w:basedOn w:val="a"/>
    <w:next w:val="a"/>
    <w:qFormat/>
    <w:pPr>
      <w:spacing w:after="57"/>
      <w:ind w:left="2268"/>
    </w:pPr>
  </w:style>
  <w:style w:type="paragraph" w:styleId="af0">
    <w:name w:val="Title"/>
    <w:basedOn w:val="a"/>
    <w:next w:val="a"/>
    <w:qFormat/>
    <w:pPr>
      <w:spacing w:before="300"/>
      <w:contextualSpacing/>
    </w:pPr>
    <w:rPr>
      <w:sz w:val="48"/>
      <w:szCs w:val="48"/>
    </w:rPr>
  </w:style>
  <w:style w:type="character" w:styleId="af1">
    <w:name w:val="endnote reference"/>
    <w:basedOn w:val="a0"/>
    <w:qFormat/>
    <w:rPr>
      <w:vertAlign w:val="superscript"/>
    </w:r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qFormat/>
    <w:rPr>
      <w:sz w:val="21"/>
      <w:szCs w:val="21"/>
    </w:rPr>
  </w:style>
  <w:style w:type="character" w:styleId="af5">
    <w:name w:val="footnote reference"/>
    <w:basedOn w:val="a0"/>
    <w:qFormat/>
    <w:rPr>
      <w:vertAlign w:val="superscript"/>
    </w:rPr>
  </w:style>
  <w:style w:type="paragraph" w:customStyle="1" w:styleId="11">
    <w:name w:val="无间隔1"/>
    <w:qFormat/>
    <w:rPr>
      <w:rFonts w:ascii="Calibri" w:hAnsi="Calibri" w:cs="Calibri"/>
      <w:sz w:val="22"/>
      <w:szCs w:val="22"/>
    </w:rPr>
  </w:style>
  <w:style w:type="paragraph" w:customStyle="1" w:styleId="12">
    <w:name w:val="引用1"/>
    <w:basedOn w:val="a"/>
    <w:next w:val="a"/>
    <w:qFormat/>
    <w:pPr>
      <w:ind w:left="720" w:right="720"/>
    </w:pPr>
    <w:rPr>
      <w:i/>
    </w:rPr>
  </w:style>
  <w:style w:type="paragraph" w:customStyle="1" w:styleId="13">
    <w:name w:val="明显引用1"/>
    <w:basedOn w:val="a"/>
    <w:next w:val="a"/>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FooterChar">
    <w:name w:val="Footer Char"/>
    <w:basedOn w:val="a0"/>
    <w:qFormat/>
  </w:style>
  <w:style w:type="paragraph" w:customStyle="1" w:styleId="TOC1">
    <w:name w:val="TOC 标题1"/>
    <w:qFormat/>
    <w:pPr>
      <w:spacing w:after="200" w:line="276" w:lineRule="auto"/>
    </w:pPr>
    <w:rPr>
      <w:rFonts w:ascii="Calibri" w:hAnsi="Calibri" w:cs="Calibri"/>
      <w:sz w:val="22"/>
      <w:szCs w:val="22"/>
    </w:rPr>
  </w:style>
  <w:style w:type="paragraph" w:customStyle="1" w:styleId="14">
    <w:name w:val="列出段落1"/>
    <w:basedOn w:val="a"/>
    <w:qFormat/>
    <w:pPr>
      <w:ind w:firstLine="200"/>
    </w:pPr>
    <w:rPr>
      <w:rFonts w:ascii="Times New Roman" w:hAnsi="Times New Roman"/>
      <w:sz w:val="24"/>
      <w:szCs w:val="24"/>
    </w:rPr>
  </w:style>
  <w:style w:type="paragraph" w:customStyle="1" w:styleId="15">
    <w:name w:val="目录标题1"/>
    <w:basedOn w:val="1"/>
    <w:next w:val="a"/>
    <w:qFormat/>
    <w:pPr>
      <w:widowControl/>
      <w:spacing w:before="480" w:line="276" w:lineRule="auto"/>
      <w:jc w:val="left"/>
      <w:outlineLvl w:val="9"/>
    </w:pPr>
    <w:rPr>
      <w:rFonts w:ascii="Cambria" w:hAnsi="Cambria"/>
      <w:color w:val="365F91"/>
      <w:szCs w:val="28"/>
    </w:rPr>
  </w:style>
  <w:style w:type="paragraph" w:customStyle="1" w:styleId="21">
    <w:name w:val="！正文缩进2字符"/>
    <w:basedOn w:val="a"/>
    <w:qFormat/>
    <w:pPr>
      <w:widowControl/>
      <w:spacing w:line="360" w:lineRule="auto"/>
      <w:ind w:firstLine="200"/>
    </w:pPr>
    <w:rPr>
      <w:rFonts w:ascii="Times New Roman" w:hAnsi="Times New Roman"/>
      <w:sz w:val="24"/>
      <w:szCs w:val="24"/>
    </w:rPr>
  </w:style>
  <w:style w:type="paragraph" w:customStyle="1" w:styleId="Web">
    <w:name w:val="普通 (Web)"/>
    <w:basedOn w:val="a"/>
    <w:qFormat/>
    <w:pPr>
      <w:widowControl/>
      <w:spacing w:before="100" w:beforeAutospacing="1" w:after="100" w:afterAutospacing="1"/>
      <w:jc w:val="left"/>
    </w:pPr>
    <w:rPr>
      <w:rFonts w:ascii="宋体"/>
      <w:sz w:val="24"/>
      <w:szCs w:val="24"/>
    </w:rPr>
  </w:style>
  <w:style w:type="paragraph" w:customStyle="1" w:styleId="Default">
    <w:name w:val="Default"/>
    <w:qFormat/>
    <w:pPr>
      <w:widowControl w:val="0"/>
      <w:spacing w:after="200" w:line="276" w:lineRule="auto"/>
    </w:pPr>
    <w:rPr>
      <w:rFonts w:ascii="仿宋" w:hAnsi="仿宋" w:cs="仿宋"/>
      <w:color w:val="000000"/>
      <w:sz w:val="24"/>
      <w:szCs w:val="24"/>
    </w:rPr>
  </w:style>
  <w:style w:type="paragraph" w:customStyle="1" w:styleId="16">
    <w:name w:val="修订1"/>
    <w:qFormat/>
    <w:pPr>
      <w:spacing w:after="200" w:line="276" w:lineRule="auto"/>
    </w:pPr>
    <w:rPr>
      <w:rFonts w:ascii="Calibri" w:hAnsi="Calibri" w:cs="Calibri"/>
      <w:sz w:val="21"/>
      <w:szCs w:val="22"/>
    </w:rPr>
  </w:style>
  <w:style w:type="character" w:customStyle="1" w:styleId="af6">
    <w:name w:val="批注文字 字符"/>
    <w:qFormat/>
    <w:rPr>
      <w:rFonts w:ascii="Calibri" w:hAnsi="Calibri"/>
      <w:sz w:val="21"/>
      <w:szCs w:val="22"/>
    </w:rPr>
  </w:style>
  <w:style w:type="paragraph" w:customStyle="1" w:styleId="22">
    <w:name w:val="修订2"/>
    <w:hidden/>
    <w:uiPriority w:val="99"/>
    <w:semiHidden/>
    <w:qFormat/>
    <w:rPr>
      <w:rFonts w:ascii="Calibri" w:hAnsi="Calibri" w:cs="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55</Pages>
  <Words>25749</Words>
  <Characters>2598</Characters>
  <Application>Microsoft Office Word</Application>
  <DocSecurity>0</DocSecurity>
  <Lines>21</Lines>
  <Paragraphs>56</Paragraphs>
  <ScaleCrop>false</ScaleCrop>
  <Company>Sky123.Org</Company>
  <LinksUpToDate>false</LinksUpToDate>
  <CharactersWithSpaces>28291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合同编码:光银托管 2016J002</dc:title>
  <dc:creator>李宁</dc:creator>
  <cp:lastModifiedBy>邵妲妃</cp:lastModifiedBy>
  <cp:revision>10</cp:revision>
  <cp:lastPrinted>2022-11-05T06:46:00Z</cp:lastPrinted>
  <dcterms:created xsi:type="dcterms:W3CDTF">2023-06-06T07:06:00Z</dcterms:created>
  <dcterms:modified xsi:type="dcterms:W3CDTF">2023-10-09T02:07:00Z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otCYQxs9Dbw2bUEn/Soxv9pYAoWsCRIsU8+gIbxzzmNcJN13+qHIPyWmbF9hFzPHyi2m8DLwi54E5OVVM5pJ0yGmgAiYTaR6oYUdYZxdjep6I9xviFUFZ9aTScfBW9OGCDoLM+ocU258ay3FOBROMpQ26cOLtZ1jQprfQqO/bvay4xfz76gA6tq7AlJGcgKh4tZv7nsUCz/yuAoTxr+BKv5TEk/+fKnzkPDA3R1TktbQNRUWPNOhdYatHqRtKrT</vt:lpwstr>
  </property>
  <property fmtid="{D5CDD505-2E9C-101B-9397-08002B2CF9AE}" pid="3" name="KSOProductBuildVer">
    <vt:lpwstr>2052-10.8.0.6470</vt:lpwstr>
  </property>
  <property fmtid="{D5CDD505-2E9C-101B-9397-08002B2CF9AE}" pid="4" name="ICV">
    <vt:lpwstr>0902248F04434B2EB58553CA91D602AE_13</vt:lpwstr>
  </property>
</Properties>
</file>